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84" w:rsidRPr="00AE34DE" w:rsidRDefault="00B11184" w:rsidP="00B11184">
      <w:pPr>
        <w:spacing w:after="0" w:line="240" w:lineRule="auto"/>
        <w:jc w:val="right"/>
        <w:rPr>
          <w:color w:val="CE181E"/>
        </w:rPr>
      </w:pPr>
      <w:r w:rsidRPr="00AE34DE">
        <w:t>Załącznik Nr 1 do Specyfikacji Istotnych Warunków Zamówienia</w:t>
      </w:r>
    </w:p>
    <w:p w:rsidR="00B11184" w:rsidRPr="00AE34DE" w:rsidRDefault="00B11184" w:rsidP="00B11184">
      <w:pPr>
        <w:spacing w:after="0" w:line="240" w:lineRule="auto"/>
        <w:ind w:firstLine="2721"/>
        <w:jc w:val="right"/>
      </w:pPr>
      <w:r w:rsidRPr="00AE34DE">
        <w:t>„</w:t>
      </w:r>
      <w:r w:rsidRPr="00AE34DE">
        <w:rPr>
          <w:rFonts w:eastAsia="Times New Roman"/>
          <w:spacing w:val="20"/>
          <w:sz w:val="22"/>
          <w:lang w:eastAsia="pl-PL"/>
        </w:rPr>
        <w:t>Dostawa sprzętu komputerowego na potrzeby Laboratorium Informatyki Wydziału Matematyki, Informatyki i Mechaniki UW</w:t>
      </w:r>
      <w:r w:rsidRPr="00AE34DE">
        <w:t xml:space="preserve"> </w:t>
      </w:r>
    </w:p>
    <w:p w:rsidR="00B11184" w:rsidRPr="00AE34DE" w:rsidRDefault="00B11184" w:rsidP="00B11184">
      <w:pPr>
        <w:spacing w:after="0" w:line="240" w:lineRule="auto"/>
        <w:jc w:val="right"/>
        <w:rPr>
          <w:color w:val="CE181E"/>
        </w:rPr>
      </w:pPr>
      <w:r w:rsidRPr="00AE34DE">
        <w:t>WMIM-371-05/2019</w:t>
      </w:r>
      <w:r w:rsidR="001C4098">
        <w:t>”</w:t>
      </w:r>
    </w:p>
    <w:p w:rsidR="00B11184" w:rsidRDefault="00B11184" w:rsidP="00B11184"/>
    <w:p w:rsidR="00B11184" w:rsidRDefault="00B11184" w:rsidP="00B11184"/>
    <w:p w:rsidR="00B11184" w:rsidRDefault="001C4098" w:rsidP="00B11184">
      <w:r>
        <w:rPr>
          <w:rFonts w:eastAsia="Times New Roman"/>
          <w:b/>
          <w:spacing w:val="20"/>
          <w:sz w:val="22"/>
          <w:lang w:eastAsia="pl-PL"/>
        </w:rPr>
        <w:t xml:space="preserve"> </w:t>
      </w:r>
    </w:p>
    <w:p w:rsidR="00B11184" w:rsidRDefault="00B11184" w:rsidP="00B11184"/>
    <w:p w:rsidR="00B11184" w:rsidRDefault="00B11184" w:rsidP="00B11184"/>
    <w:p w:rsidR="00B11184" w:rsidRDefault="00B11184" w:rsidP="00B11184">
      <w:pPr>
        <w:spacing w:line="240" w:lineRule="auto"/>
        <w:jc w:val="center"/>
        <w:rPr>
          <w:color w:val="CE181E"/>
        </w:rPr>
      </w:pPr>
      <w:r>
        <w:rPr>
          <w:rFonts w:ascii="Palatino Linotype" w:hAnsi="Palatino Linotype"/>
          <w:b/>
          <w:bCs/>
          <w:sz w:val="28"/>
          <w:szCs w:val="28"/>
        </w:rPr>
        <w:t>OPIS PRZEDMIOTU ZAMÓWIENIA</w:t>
      </w:r>
    </w:p>
    <w:p w:rsidR="00B11184" w:rsidRDefault="00B11184" w:rsidP="00B11184"/>
    <w:p w:rsidR="00B11184" w:rsidRDefault="00B11184" w:rsidP="00B11184"/>
    <w:p w:rsidR="00B11184" w:rsidRDefault="00B11184" w:rsidP="00B11184"/>
    <w:p w:rsidR="00B11184" w:rsidRDefault="00B11184" w:rsidP="00B11184"/>
    <w:p w:rsidR="00B11184" w:rsidRDefault="00B11184" w:rsidP="00B11184"/>
    <w:p w:rsidR="00B11184" w:rsidRDefault="00B11184" w:rsidP="00B11184"/>
    <w:p w:rsidR="00B11184" w:rsidRDefault="00B11184" w:rsidP="00B11184"/>
    <w:p w:rsidR="00B11184" w:rsidRDefault="00B11184" w:rsidP="00B11184"/>
    <w:p w:rsidR="00B11184" w:rsidRDefault="00B11184" w:rsidP="00B11184"/>
    <w:p w:rsidR="00B11184" w:rsidRDefault="00B11184" w:rsidP="00B11184"/>
    <w:p w:rsidR="00B11184" w:rsidRDefault="00B11184" w:rsidP="00B11184"/>
    <w:p w:rsidR="00B11184" w:rsidRDefault="00B11184" w:rsidP="00B11184"/>
    <w:p w:rsidR="00B11184" w:rsidRDefault="00B11184" w:rsidP="00B11184"/>
    <w:p w:rsidR="00B11184" w:rsidRDefault="00B11184" w:rsidP="00B11184"/>
    <w:p w:rsidR="00B11184" w:rsidRDefault="00B11184" w:rsidP="00B11184"/>
    <w:p w:rsidR="00B11184" w:rsidRDefault="00B11184" w:rsidP="00B11184"/>
    <w:p w:rsidR="00B11184" w:rsidRDefault="00B11184" w:rsidP="00B11184"/>
    <w:p w:rsidR="00B11184" w:rsidRDefault="00B11184" w:rsidP="00B11184"/>
    <w:p w:rsidR="00B11184" w:rsidRDefault="00B11184" w:rsidP="00B11184"/>
    <w:p w:rsidR="00B11184" w:rsidRDefault="00B11184" w:rsidP="00B11184">
      <w:pPr>
        <w:jc w:val="right"/>
      </w:pPr>
    </w:p>
    <w:p w:rsidR="00B11184" w:rsidRDefault="00B11184" w:rsidP="00B11184">
      <w:pPr>
        <w:jc w:val="right"/>
        <w:rPr>
          <w:color w:val="000000"/>
        </w:rPr>
      </w:pPr>
    </w:p>
    <w:tbl>
      <w:tblPr>
        <w:tblW w:w="9351" w:type="dxa"/>
        <w:tblInd w:w="-289" w:type="dxa"/>
        <w:tblCellMar>
          <w:left w:w="66" w:type="dxa"/>
          <w:right w:w="71" w:type="dxa"/>
        </w:tblCellMar>
        <w:tblLook w:val="04A0" w:firstRow="1" w:lastRow="0" w:firstColumn="1" w:lastColumn="0" w:noHBand="0" w:noVBand="1"/>
      </w:tblPr>
      <w:tblGrid>
        <w:gridCol w:w="710"/>
        <w:gridCol w:w="2306"/>
        <w:gridCol w:w="6335"/>
      </w:tblGrid>
      <w:tr w:rsidR="00E76FEE" w:rsidTr="00E76FEE">
        <w:trPr>
          <w:trHeight w:val="284"/>
        </w:trPr>
        <w:tc>
          <w:tcPr>
            <w:tcW w:w="9351" w:type="dxa"/>
            <w:gridSpan w:val="3"/>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rsidR="00E76FEE" w:rsidRDefault="00E76FEE" w:rsidP="009D1D68">
            <w:pPr>
              <w:jc w:val="both"/>
              <w:rPr>
                <w:rFonts w:ascii="DejaVu Sans" w:hAnsi="DejaVu Sans"/>
                <w:sz w:val="20"/>
                <w:szCs w:val="20"/>
              </w:rPr>
            </w:pPr>
            <w:r>
              <w:rPr>
                <w:rFonts w:cs="Segoe UI"/>
                <w:b/>
                <w:sz w:val="32"/>
                <w:szCs w:val="32"/>
              </w:rPr>
              <w:lastRenderedPageBreak/>
              <w:t>CZĘŚC I</w:t>
            </w:r>
            <w:r>
              <w:rPr>
                <w:rFonts w:ascii="DejaVu Sans" w:hAnsi="DejaVu Sans"/>
                <w:sz w:val="20"/>
                <w:szCs w:val="20"/>
              </w:rPr>
              <w:t xml:space="preserve"> - </w:t>
            </w:r>
            <w:r>
              <w:rPr>
                <w:rFonts w:cs="Segoe UI"/>
                <w:b/>
                <w:sz w:val="32"/>
                <w:szCs w:val="32"/>
              </w:rPr>
              <w:t>jednostki centralne komputerów</w:t>
            </w:r>
          </w:p>
        </w:tc>
      </w:tr>
      <w:tr w:rsidR="00E76FEE" w:rsidTr="00E76FEE">
        <w:trPr>
          <w:trHeight w:val="284"/>
        </w:trPr>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E76FEE" w:rsidRPr="00E3221D" w:rsidRDefault="00E76FEE" w:rsidP="009D1D68">
            <w:pPr>
              <w:rPr>
                <w:rFonts w:ascii="Caladea" w:hAnsi="Caladea"/>
                <w:sz w:val="22"/>
              </w:rPr>
            </w:pPr>
            <w:r w:rsidRPr="00E3221D">
              <w:rPr>
                <w:rFonts w:ascii="Caladea" w:hAnsi="Caladea"/>
                <w:sz w:val="22"/>
              </w:rPr>
              <w:t>1</w:t>
            </w:r>
          </w:p>
        </w:tc>
        <w:tc>
          <w:tcPr>
            <w:tcW w:w="23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6FEE" w:rsidRPr="00E3221D" w:rsidRDefault="00E76FEE" w:rsidP="009D1D68">
            <w:pPr>
              <w:rPr>
                <w:rFonts w:ascii="Caladea" w:hAnsi="Caladea"/>
                <w:sz w:val="22"/>
              </w:rPr>
            </w:pPr>
            <w:r w:rsidRPr="00E3221D">
              <w:rPr>
                <w:rFonts w:ascii="Caladea" w:hAnsi="Caladea"/>
                <w:sz w:val="22"/>
              </w:rPr>
              <w:t>Nazwa komponentu</w:t>
            </w:r>
          </w:p>
        </w:tc>
        <w:tc>
          <w:tcPr>
            <w:tcW w:w="633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6FEE" w:rsidRPr="00E3221D" w:rsidRDefault="00E76FEE" w:rsidP="009D1D68">
            <w:pPr>
              <w:rPr>
                <w:rFonts w:ascii="Caladea" w:hAnsi="Caladea"/>
                <w:sz w:val="22"/>
              </w:rPr>
            </w:pPr>
            <w:r w:rsidRPr="00E3221D">
              <w:rPr>
                <w:rFonts w:ascii="Caladea" w:hAnsi="Caladea"/>
                <w:sz w:val="22"/>
              </w:rPr>
              <w:t>Wymagane minimalne parametry techniczne komputerów</w:t>
            </w:r>
          </w:p>
        </w:tc>
      </w:tr>
      <w:tr w:rsidR="00E76FEE" w:rsidTr="00E76FEE">
        <w:trPr>
          <w:trHeight w:val="284"/>
        </w:trPr>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t>2</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Typ</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Komputer stacjonarny. W ofercie wymagane jest podanie modelu lub symbolu oraz producenta</w:t>
            </w:r>
          </w:p>
        </w:tc>
      </w:tr>
      <w:tr w:rsidR="00E76FEE" w:rsidTr="00E76FEE">
        <w:trPr>
          <w:trHeight w:val="284"/>
        </w:trPr>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t>3</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Zastosowanie</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Komputer będzie wykorzystywany dla potrzeb aplikacji biurowych, aplikacji graficznych, aplikacji obliczeniowych, dostępu do Internetu oraz poczty elektronicznej, jako lokalna baza danych, stacja programistyczna</w:t>
            </w:r>
          </w:p>
        </w:tc>
      </w:tr>
      <w:tr w:rsidR="00E76FEE" w:rsidTr="00E76FEE">
        <w:trPr>
          <w:trHeight w:val="284"/>
        </w:trPr>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t>4</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 xml:space="preserve">Procesor </w:t>
            </w:r>
          </w:p>
          <w:p w:rsidR="00E76FEE" w:rsidRPr="00E3221D" w:rsidRDefault="00E76FEE" w:rsidP="009D1D68">
            <w:pPr>
              <w:rPr>
                <w:rFonts w:ascii="Caladea" w:hAnsi="Caladea"/>
                <w:sz w:val="22"/>
              </w:rPr>
            </w:pP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Procesor wielordzeniowy, o parametrach nie niższych niż: 6 rdzeni, 12MB pamięci podręcznej, taktowanie 3</w:t>
            </w:r>
            <w:bookmarkStart w:id="0" w:name="_GoBack1"/>
            <w:bookmarkEnd w:id="0"/>
            <w:r w:rsidRPr="00E3221D">
              <w:rPr>
                <w:rFonts w:ascii="Caladea" w:hAnsi="Caladea"/>
                <w:sz w:val="22"/>
              </w:rPr>
              <w:t xml:space="preserve">,7GHz. </w:t>
            </w:r>
            <w:r w:rsidRPr="00E3221D">
              <w:rPr>
                <w:rFonts w:ascii="Caladea" w:hAnsi="Caladea" w:cs="Arial"/>
                <w:sz w:val="22"/>
              </w:rPr>
              <w:t xml:space="preserve">Musi osiągać w teście </w:t>
            </w:r>
            <w:proofErr w:type="spellStart"/>
            <w:r w:rsidRPr="00E3221D">
              <w:rPr>
                <w:rFonts w:ascii="Caladea" w:hAnsi="Caladea" w:cs="Arial"/>
                <w:sz w:val="22"/>
              </w:rPr>
              <w:t>PassMark</w:t>
            </w:r>
            <w:proofErr w:type="spellEnd"/>
            <w:r w:rsidRPr="00E3221D">
              <w:rPr>
                <w:rFonts w:ascii="Caladea" w:hAnsi="Caladea" w:cs="Arial"/>
                <w:sz w:val="22"/>
              </w:rPr>
              <w:t xml:space="preserve"> Performance Test wynik co najmniej 15500 punktów</w:t>
            </w:r>
          </w:p>
        </w:tc>
      </w:tr>
      <w:tr w:rsidR="00E76FEE" w:rsidTr="00E76FEE">
        <w:trPr>
          <w:trHeight w:val="284"/>
        </w:trPr>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t>5</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Pamięć operacyjna RAM</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32GB DDR4</w:t>
            </w:r>
          </w:p>
        </w:tc>
      </w:tr>
      <w:tr w:rsidR="00E76FEE" w:rsidTr="00E76FEE">
        <w:trPr>
          <w:trHeight w:val="284"/>
        </w:trPr>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t>6</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Pamięć masowa</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min. 4 TB  SATA HDD</w:t>
            </w:r>
          </w:p>
          <w:p w:rsidR="00E76FEE" w:rsidRPr="00E3221D" w:rsidRDefault="00E76FEE" w:rsidP="009D1D68">
            <w:pPr>
              <w:rPr>
                <w:rFonts w:ascii="Caladea" w:hAnsi="Caladea"/>
                <w:sz w:val="22"/>
              </w:rPr>
            </w:pPr>
            <w:r w:rsidRPr="00E3221D">
              <w:rPr>
                <w:rFonts w:ascii="Caladea" w:hAnsi="Caladea"/>
                <w:sz w:val="22"/>
              </w:rPr>
              <w:t>Obudowa komputera musi umożliwiać instalację min 3x 3,5” HDD i 1x M.2 lub 4x 2,5” HDD i 1x M.2</w:t>
            </w:r>
          </w:p>
        </w:tc>
      </w:tr>
      <w:tr w:rsidR="00E76FEE" w:rsidTr="00E76FEE">
        <w:trPr>
          <w:trHeight w:val="284"/>
        </w:trPr>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t>7</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Wydajność grafiki</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Oferowana karta graficzna z własną pamięcią min. 6 GB, wsparcie dla technologii Cuda. Osiągający wynik co najmni</w:t>
            </w:r>
            <w:r w:rsidRPr="00E3221D">
              <w:rPr>
                <w:rFonts w:ascii="Caladea" w:eastAsia="Times New Roman" w:hAnsi="Caladea"/>
                <w:sz w:val="22"/>
                <w:lang w:eastAsia="pl-PL"/>
              </w:rPr>
              <w:t xml:space="preserve">ej 10400 pkt w teście </w:t>
            </w:r>
            <w:proofErr w:type="spellStart"/>
            <w:r w:rsidRPr="00E3221D">
              <w:rPr>
                <w:rFonts w:ascii="Caladea" w:eastAsia="Times New Roman" w:hAnsi="Caladea"/>
                <w:sz w:val="22"/>
                <w:lang w:eastAsia="pl-PL"/>
              </w:rPr>
              <w:t>PassMark</w:t>
            </w:r>
            <w:proofErr w:type="spellEnd"/>
            <w:r w:rsidRPr="00E3221D">
              <w:rPr>
                <w:rFonts w:ascii="Caladea" w:eastAsia="Times New Roman" w:hAnsi="Caladea"/>
                <w:sz w:val="22"/>
                <w:lang w:eastAsia="pl-PL"/>
              </w:rPr>
              <w:t xml:space="preserve"> (https://www.videocardbenchmark.net)</w:t>
            </w:r>
          </w:p>
        </w:tc>
      </w:tr>
      <w:tr w:rsidR="00E76FEE" w:rsidTr="00E76FEE">
        <w:trPr>
          <w:trHeight w:val="284"/>
        </w:trPr>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t>8</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Wyposażenie multimedialne</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 xml:space="preserve">Min 24-bitowa Karta dźwiękowa zintegrowana z płytą główną, zgodna z High Definition,  wewnętrzny głośnik min. 2W w obudowie komputera </w:t>
            </w:r>
          </w:p>
        </w:tc>
      </w:tr>
      <w:tr w:rsidR="00E76FEE" w:rsidTr="00E76FEE">
        <w:trPr>
          <w:trHeight w:val="284"/>
        </w:trPr>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t>9</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Obudowa</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 xml:space="preserve">Typu </w:t>
            </w:r>
            <w:proofErr w:type="spellStart"/>
            <w:r w:rsidRPr="00E3221D">
              <w:rPr>
                <w:rFonts w:ascii="Caladea" w:hAnsi="Caladea"/>
                <w:sz w:val="22"/>
              </w:rPr>
              <w:t>MiniTower</w:t>
            </w:r>
            <w:proofErr w:type="spellEnd"/>
            <w:r w:rsidRPr="00E3221D">
              <w:rPr>
                <w:rFonts w:ascii="Caladea" w:hAnsi="Caladea"/>
                <w:sz w:val="22"/>
              </w:rPr>
              <w:t xml:space="preserve"> z obsługą kart PCI Express i PCI wyłącznie o pełnym profilu, wyposażona w min. 1 kieszenie 5,25”  typu </w:t>
            </w:r>
            <w:proofErr w:type="spellStart"/>
            <w:r w:rsidRPr="00E3221D">
              <w:rPr>
                <w:rFonts w:ascii="Caladea" w:hAnsi="Caladea"/>
                <w:sz w:val="22"/>
              </w:rPr>
              <w:t>slim</w:t>
            </w:r>
            <w:proofErr w:type="spellEnd"/>
            <w:r w:rsidRPr="00E3221D">
              <w:rPr>
                <w:rFonts w:ascii="Caladea" w:hAnsi="Caladea"/>
                <w:sz w:val="22"/>
              </w:rPr>
              <w:t xml:space="preserve"> zewnętrzna   i 2 </w:t>
            </w:r>
            <w:proofErr w:type="spellStart"/>
            <w:r w:rsidRPr="00E3221D">
              <w:rPr>
                <w:rFonts w:ascii="Caladea" w:hAnsi="Caladea"/>
                <w:sz w:val="22"/>
              </w:rPr>
              <w:t>szt</w:t>
            </w:r>
            <w:proofErr w:type="spellEnd"/>
            <w:r w:rsidRPr="00E3221D">
              <w:rPr>
                <w:rFonts w:ascii="Caladea" w:hAnsi="Caladea"/>
                <w:sz w:val="22"/>
              </w:rPr>
              <w:t xml:space="preserve"> 3,5” wewnętrzne. Obudowa powinna fabrycznie umożliwiać montaż min 3 szt. dysku 3,5” lub 4 sztuki 2,5”. </w:t>
            </w:r>
          </w:p>
          <w:p w:rsidR="00E76FEE" w:rsidRPr="00E3221D" w:rsidRDefault="00E76FEE" w:rsidP="009D1D68">
            <w:pPr>
              <w:rPr>
                <w:rFonts w:ascii="Caladea" w:hAnsi="Caladea"/>
                <w:sz w:val="22"/>
              </w:rPr>
            </w:pPr>
            <w:r w:rsidRPr="00E3221D">
              <w:rPr>
                <w:rFonts w:ascii="Caladea" w:hAnsi="Caladea"/>
                <w:sz w:val="22"/>
              </w:rPr>
              <w:t>Obudowa fabrycznie przystosowana do pracy w orientacji pionowej. Zasilacz o mocy 460W pracujący w sieci 230V 50/60Hz prądu przemiennego.</w:t>
            </w:r>
          </w:p>
          <w:p w:rsidR="00E76FEE" w:rsidRPr="00E3221D" w:rsidRDefault="00E76FEE" w:rsidP="009D1D68">
            <w:pPr>
              <w:rPr>
                <w:rFonts w:ascii="Caladea" w:hAnsi="Caladea"/>
                <w:sz w:val="22"/>
              </w:rPr>
            </w:pPr>
            <w:r w:rsidRPr="00E3221D">
              <w:rPr>
                <w:rFonts w:ascii="Caladea" w:hAnsi="Caladea"/>
                <w:sz w:val="22"/>
              </w:rPr>
              <w:t xml:space="preserve">Zasilacz w oferowanym komputerze musi się znajdować na stronie </w:t>
            </w:r>
            <w:hyperlink r:id="rId8">
              <w:r w:rsidRPr="00E3221D">
                <w:rPr>
                  <w:rStyle w:val="czeinternetowe"/>
                  <w:rFonts w:ascii="Caladea" w:hAnsi="Caladea"/>
                  <w:sz w:val="22"/>
                </w:rPr>
                <w:t>http://www.plugloadsolutions.com/80pluspowersupplies.aspx</w:t>
              </w:r>
            </w:hyperlink>
            <w:r w:rsidRPr="00E3221D">
              <w:rPr>
                <w:rFonts w:ascii="Caladea" w:hAnsi="Caladea"/>
                <w:sz w:val="22"/>
              </w:rPr>
              <w:t xml:space="preserve">, do oferty </w:t>
            </w:r>
            <w:r w:rsidR="00E3221D" w:rsidRPr="00E3221D">
              <w:rPr>
                <w:rFonts w:ascii="Caladea" w:hAnsi="Caladea"/>
                <w:sz w:val="22"/>
              </w:rPr>
              <w:t xml:space="preserve"> na żądanie Zamawiającego </w:t>
            </w:r>
            <w:r w:rsidRPr="00E3221D">
              <w:rPr>
                <w:rFonts w:ascii="Caladea" w:hAnsi="Caladea"/>
                <w:sz w:val="22"/>
              </w:rPr>
              <w:t>należy dołączyć wydruk potwierdzający spełnienie wymogu 80plus, w przypadku kiedy u producenta występuje kilka zasilaczy które są montowane na etapie produkcji w fabryce załączyć wydruki dla wszystkich zasilaczy.</w:t>
            </w:r>
          </w:p>
          <w:p w:rsidR="00E76FEE" w:rsidRPr="00E3221D" w:rsidRDefault="00E76FEE" w:rsidP="009D1D68">
            <w:pPr>
              <w:rPr>
                <w:rFonts w:ascii="Caladea" w:hAnsi="Caladea"/>
                <w:sz w:val="22"/>
              </w:rPr>
            </w:pPr>
            <w:r w:rsidRPr="00E3221D">
              <w:rPr>
                <w:rFonts w:ascii="Caladea" w:hAnsi="Caladea"/>
                <w:sz w:val="22"/>
              </w:rPr>
              <w:t xml:space="preserve">Wydruki 80plus muszą być potwierdzone przez producenta lub dołączone oświadczenie producenta komputera iż wskazane </w:t>
            </w:r>
            <w:r w:rsidRPr="00E3221D">
              <w:rPr>
                <w:rFonts w:ascii="Caladea" w:hAnsi="Caladea"/>
                <w:sz w:val="22"/>
              </w:rPr>
              <w:lastRenderedPageBreak/>
              <w:t>zasilacze przez wykonawcę spełniają 80plus.</w:t>
            </w:r>
          </w:p>
          <w:p w:rsidR="00E76FEE" w:rsidRPr="00E3221D" w:rsidRDefault="00E76FEE" w:rsidP="009D1D68">
            <w:pPr>
              <w:rPr>
                <w:rFonts w:ascii="Caladea" w:hAnsi="Caladea"/>
                <w:sz w:val="22"/>
              </w:rPr>
            </w:pPr>
            <w:r w:rsidRPr="00E3221D">
              <w:rPr>
                <w:rFonts w:ascii="Caladea" w:hAnsi="Caladea"/>
                <w:sz w:val="22"/>
              </w:rPr>
              <w:t xml:space="preserve">Obudowa musi posiadać czujnik otwarcia współpracujący z oprogramowaniem zarządzająco–diagnostycznym. Obudowa musi umożliwiać zastosowanie zabezpieczenia fizycznego w postaci linki metalowej oraz kłódki (oczko w obudowie do założenia kłódki). </w:t>
            </w:r>
          </w:p>
          <w:p w:rsidR="00E76FEE" w:rsidRPr="00E3221D" w:rsidRDefault="00E76FEE" w:rsidP="009D1D68">
            <w:pPr>
              <w:rPr>
                <w:rFonts w:ascii="Caladea" w:hAnsi="Caladea"/>
                <w:sz w:val="22"/>
              </w:rPr>
            </w:pPr>
            <w:r w:rsidRPr="00E3221D">
              <w:rPr>
                <w:rFonts w:ascii="Caladea" w:hAnsi="Caladea"/>
                <w:sz w:val="22"/>
              </w:rPr>
              <w:t>Obudowa musi posiadać wbudowany wizualny system diagnostyczny, służący do sygnalizowania i diagnozowania problemów z komputerem i jego komponentami, sygnalizacja oparta na zmianie statusów diody LED  tzn. np. barw i migania.  W szczególności musi sygnalizować:</w:t>
            </w:r>
          </w:p>
          <w:p w:rsidR="00E76FEE" w:rsidRPr="00E3221D" w:rsidRDefault="00E76FEE" w:rsidP="00B11184">
            <w:pPr>
              <w:numPr>
                <w:ilvl w:val="0"/>
                <w:numId w:val="2"/>
              </w:numPr>
              <w:suppressAutoHyphens/>
              <w:spacing w:after="140" w:line="288" w:lineRule="auto"/>
              <w:jc w:val="both"/>
              <w:rPr>
                <w:rFonts w:ascii="Caladea" w:hAnsi="Caladea"/>
                <w:sz w:val="22"/>
              </w:rPr>
            </w:pPr>
            <w:r w:rsidRPr="00E3221D">
              <w:rPr>
                <w:rFonts w:ascii="Caladea" w:hAnsi="Caladea"/>
                <w:sz w:val="22"/>
              </w:rPr>
              <w:t>uszkodzenie lub brak pamięci RAM</w:t>
            </w:r>
          </w:p>
          <w:p w:rsidR="00E76FEE" w:rsidRPr="00E3221D" w:rsidRDefault="00E76FEE" w:rsidP="00B11184">
            <w:pPr>
              <w:numPr>
                <w:ilvl w:val="0"/>
                <w:numId w:val="2"/>
              </w:numPr>
              <w:suppressAutoHyphens/>
              <w:spacing w:after="140" w:line="288" w:lineRule="auto"/>
              <w:jc w:val="both"/>
              <w:rPr>
                <w:rFonts w:ascii="Caladea" w:hAnsi="Caladea"/>
                <w:sz w:val="22"/>
              </w:rPr>
            </w:pPr>
            <w:r w:rsidRPr="00E3221D">
              <w:rPr>
                <w:rFonts w:ascii="Caladea" w:hAnsi="Caladea"/>
                <w:sz w:val="22"/>
              </w:rPr>
              <w:t>uszkodzenie płyty głównej (w tym również portów I/O, chipset)</w:t>
            </w:r>
          </w:p>
          <w:p w:rsidR="00E76FEE" w:rsidRPr="00E3221D" w:rsidRDefault="00E76FEE" w:rsidP="00B11184">
            <w:pPr>
              <w:numPr>
                <w:ilvl w:val="0"/>
                <w:numId w:val="2"/>
              </w:numPr>
              <w:suppressAutoHyphens/>
              <w:spacing w:after="140" w:line="288" w:lineRule="auto"/>
              <w:jc w:val="both"/>
              <w:rPr>
                <w:rFonts w:ascii="Caladea" w:hAnsi="Caladea"/>
                <w:sz w:val="22"/>
              </w:rPr>
            </w:pPr>
            <w:r w:rsidRPr="00E3221D">
              <w:rPr>
                <w:rFonts w:ascii="Caladea" w:hAnsi="Caladea"/>
                <w:sz w:val="22"/>
              </w:rPr>
              <w:t>uszkodzenie kontrolera Video</w:t>
            </w:r>
          </w:p>
          <w:p w:rsidR="00E76FEE" w:rsidRPr="00E3221D" w:rsidRDefault="00E76FEE" w:rsidP="00B11184">
            <w:pPr>
              <w:numPr>
                <w:ilvl w:val="0"/>
                <w:numId w:val="2"/>
              </w:numPr>
              <w:suppressAutoHyphens/>
              <w:spacing w:after="140" w:line="288" w:lineRule="auto"/>
              <w:jc w:val="both"/>
              <w:rPr>
                <w:rFonts w:ascii="Caladea" w:hAnsi="Caladea"/>
                <w:sz w:val="22"/>
              </w:rPr>
            </w:pPr>
            <w:r w:rsidRPr="00E3221D">
              <w:rPr>
                <w:rFonts w:ascii="Caladea" w:hAnsi="Caladea"/>
                <w:sz w:val="22"/>
              </w:rPr>
              <w:t xml:space="preserve">awarię </w:t>
            </w:r>
            <w:proofErr w:type="spellStart"/>
            <w:r w:rsidRPr="00E3221D">
              <w:rPr>
                <w:rFonts w:ascii="Caladea" w:hAnsi="Caladea"/>
                <w:sz w:val="22"/>
              </w:rPr>
              <w:t>BIOS’u</w:t>
            </w:r>
            <w:proofErr w:type="spellEnd"/>
          </w:p>
          <w:p w:rsidR="00E76FEE" w:rsidRPr="00E3221D" w:rsidRDefault="00E76FEE" w:rsidP="00B11184">
            <w:pPr>
              <w:numPr>
                <w:ilvl w:val="0"/>
                <w:numId w:val="2"/>
              </w:numPr>
              <w:suppressAutoHyphens/>
              <w:spacing w:after="140" w:line="288" w:lineRule="auto"/>
              <w:jc w:val="both"/>
              <w:rPr>
                <w:rFonts w:ascii="Caladea" w:hAnsi="Caladea"/>
                <w:sz w:val="22"/>
              </w:rPr>
            </w:pPr>
            <w:r w:rsidRPr="00E3221D">
              <w:rPr>
                <w:rFonts w:ascii="Caladea" w:hAnsi="Caladea"/>
                <w:sz w:val="22"/>
              </w:rPr>
              <w:t>awarię procesora</w:t>
            </w:r>
          </w:p>
          <w:p w:rsidR="00E76FEE" w:rsidRPr="00E3221D" w:rsidRDefault="00E76FEE" w:rsidP="009D1D68">
            <w:pPr>
              <w:rPr>
                <w:rFonts w:ascii="Caladea" w:hAnsi="Caladea"/>
                <w:sz w:val="22"/>
              </w:rPr>
            </w:pPr>
            <w:r w:rsidRPr="00E3221D">
              <w:rPr>
                <w:rFonts w:ascii="Caladea" w:hAnsi="Caladea"/>
                <w:sz w:val="22"/>
              </w:rPr>
              <w:t>Oferowany system diagnostyczny nie może wykorzystywać minimalnej ilości wolnych slotów na płycie głównej, wymaganych wnęk zewnętrznych w specyfikacji oraz nie może być uzyskany przez konwertowanie, przerabianie innych złączy na płycie głównej nie wymienionych w specyfikacji a które nie są dedykowane dla systemu diagnostycznego. Każdy komputer powinien być oznaczony niepowtarzalnym numerem seryjnym umieszczonym na obudowie, oraz wpisanym na stałe w BIOS</w:t>
            </w:r>
          </w:p>
        </w:tc>
      </w:tr>
      <w:tr w:rsidR="00E76FEE" w:rsidTr="00E76FEE">
        <w:trPr>
          <w:trHeight w:val="284"/>
        </w:trPr>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lastRenderedPageBreak/>
              <w:t>10</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Zgodność z systemami operacyjnymi i standardami</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 xml:space="preserve">Oferowane modele komputerów muszą poprawnie współpracować z zamawianymi systemami operacyjnymi (jako potwierdzenie poprawnej współpracy Wykonawca dołączy do oferty </w:t>
            </w:r>
            <w:r w:rsidR="00E3221D" w:rsidRPr="00E3221D">
              <w:rPr>
                <w:rFonts w:ascii="Caladea" w:hAnsi="Caladea"/>
                <w:sz w:val="22"/>
              </w:rPr>
              <w:t xml:space="preserve">na żądanie Zamawiającego,  </w:t>
            </w:r>
            <w:r w:rsidRPr="00E3221D">
              <w:rPr>
                <w:rFonts w:ascii="Caladea" w:hAnsi="Caladea"/>
                <w:sz w:val="22"/>
              </w:rPr>
              <w:t>dokument w postaci wydruku potwierdzający certyfikację rodziny produktów bez względu na rodzaj obudowy, dodatkowo potwierdzony przez producenta oferowanego komputera)</w:t>
            </w:r>
          </w:p>
        </w:tc>
      </w:tr>
      <w:tr w:rsidR="00E76FEE" w:rsidTr="00E76FEE">
        <w:trPr>
          <w:trHeight w:val="284"/>
        </w:trPr>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t>11</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Bezpieczeństwo</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 xml:space="preserve">Płyta główna musi zawierać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Zaimplementowany w BIOS system diagnostyczny z interfejsem użytkownika dostępny z poziomu szybkiego menu </w:t>
            </w:r>
            <w:proofErr w:type="spellStart"/>
            <w:r w:rsidRPr="00E3221D">
              <w:rPr>
                <w:rFonts w:ascii="Caladea" w:hAnsi="Caladea"/>
                <w:sz w:val="22"/>
              </w:rPr>
              <w:t>boot</w:t>
            </w:r>
            <w:proofErr w:type="spellEnd"/>
            <w:r w:rsidRPr="00E3221D">
              <w:rPr>
                <w:rFonts w:ascii="Caladea" w:hAnsi="Caladea"/>
                <w:sz w:val="22"/>
              </w:rPr>
              <w:t xml:space="preserve"> umożliwiający jednoczesne przetestowanie w celu wykrycia usterki zainstalowanych komponentów w oferowanym komputerze bez konieczności uruchamiania systemu </w:t>
            </w:r>
            <w:r w:rsidRPr="00E3221D">
              <w:rPr>
                <w:rFonts w:ascii="Caladea" w:hAnsi="Caladea"/>
                <w:sz w:val="22"/>
              </w:rPr>
              <w:lastRenderedPageBreak/>
              <w:t>operacyjnego. System oparty o  funkcjonalności: testy uruchamiane automatycznie lub w trybie interaktywnym,  możliwość powtórzenia testów. podsumowanie testów z możliwością zapisywania wyników,  uruchamianie gruntownych testów, uruchamianie szybkich testów lub pojedynczego testu dla konkretnego podzespołu. Uruchamianie testów zdefiniowanych przez użytkownika, wyświetlanie wiadomości, które informują o stanie przeprowadzanych testów,  wyświetlanie wiadomości o błędach. Test musi zawierać informację o nazwie komputera, wersji BIOS, numerze seryjnym komputera. Podawać dokładne informacje o wszystkich zainstalowanych komponentach, a w szczególności zawierać informacje o numerze seryjnym, typie i pojemności dysku twardego, informacji o obrotach wentylatora CPU, informacji o procesorze w tym model i taktowanie, informacji o pamięci w tym wielkość podana w MB, obsadzenie w konkretnym banku, typ pamięci, wykaz temperatur CPU, pamięci, temperatury panującej wewnątrz. System działający nawet w przypadku braku dysku twardego lub  w przypadku jego uszkodzenia, pozwalający na uzyskanie wyżej wymienionych funkcjonalności a w szczególności na przetestowanie : procesora i pamięci</w:t>
            </w:r>
          </w:p>
        </w:tc>
      </w:tr>
      <w:tr w:rsidR="00E76FEE" w:rsidTr="00E76FEE">
        <w:trPr>
          <w:trHeight w:val="284"/>
        </w:trPr>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lastRenderedPageBreak/>
              <w:t>12</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Wirtualizacja</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 xml:space="preserve">Sprzętowe wsparcie </w:t>
            </w:r>
            <w:proofErr w:type="spellStart"/>
            <w:r w:rsidRPr="00E3221D">
              <w:rPr>
                <w:rFonts w:ascii="Caladea" w:hAnsi="Caladea"/>
                <w:sz w:val="22"/>
              </w:rPr>
              <w:t>technologi</w:t>
            </w:r>
            <w:proofErr w:type="spellEnd"/>
            <w:r w:rsidRPr="00E3221D">
              <w:rPr>
                <w:rFonts w:ascii="Caladea" w:hAnsi="Caladea"/>
                <w:sz w:val="22"/>
              </w:rPr>
              <w:t xml:space="preserve"> wirtualizacji realizowane łącznie w procesorze, chipsecie płyty głównej oraz w  BIOS systemu (możliwość włączenia/wyłączenia sprzętowego wsparcia wirtualizacji dla poszczególnych komponentów systemu)</w:t>
            </w:r>
          </w:p>
        </w:tc>
      </w:tr>
      <w:tr w:rsidR="00E76FEE" w:rsidTr="00E76FEE">
        <w:trPr>
          <w:trHeight w:val="284"/>
        </w:trPr>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t>13</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BIOS</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BIOS zgodny ze specyfikacją UEFI.</w:t>
            </w:r>
          </w:p>
          <w:p w:rsidR="00E76FEE" w:rsidRPr="00E3221D" w:rsidRDefault="00E76FEE" w:rsidP="009D1D68">
            <w:pPr>
              <w:rPr>
                <w:rFonts w:ascii="Caladea" w:hAnsi="Caladea"/>
                <w:sz w:val="22"/>
              </w:rPr>
            </w:pPr>
            <w:r w:rsidRPr="00E3221D">
              <w:rPr>
                <w:rFonts w:ascii="Caladea" w:hAnsi="Caladea"/>
                <w:sz w:val="22"/>
              </w:rPr>
              <w:t>Pełna obsługa BIOS za pomocą klawiatury i myszy oraz samej myszy  BIOS wyposażony w automatyczną detekcję zmiany konfiguracji, automatycznie nanoszący zmiany w konfiguracji w szczególności : procesora, wielkość pamięci, pojemności dysku. Możliwość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osiąganej prędkości zainstalowanego procesora, maksymalnej  osiąganej prędkości zainstalowanego procesora, pojemności zainstalowanego lub zainstalowanych dysków twardych o wszystkich urządzeniach podpiętych do dostępnych na płycie głównej portów SATA oraz M SATA, MAC adresie zintegrowanej karty sieciowej, zintegrowanym układzie graficznym, kontrolerze audio. Do odczytu wskazanych informacji nie mogą być stosowane rozwiązania  zaimplementowane poza systemem BIOS. Funkcja blokowania/odblokowania BOOT-</w:t>
            </w:r>
            <w:proofErr w:type="spellStart"/>
            <w:r w:rsidRPr="00E3221D">
              <w:rPr>
                <w:rFonts w:ascii="Caladea" w:hAnsi="Caladea"/>
                <w:sz w:val="22"/>
              </w:rPr>
              <w:t>owania</w:t>
            </w:r>
            <w:proofErr w:type="spellEnd"/>
            <w:r w:rsidRPr="00E3221D">
              <w:rPr>
                <w:rFonts w:ascii="Caladea" w:hAnsi="Caladea"/>
                <w:sz w:val="22"/>
              </w:rPr>
              <w:t xml:space="preserve"> stacji roboczej z zewnętrznych urządzeń. możliwość ustawienia hasła użytkownika umożliwiającego uruchomienie komputera </w:t>
            </w:r>
            <w:r w:rsidRPr="00E3221D">
              <w:rPr>
                <w:rFonts w:ascii="Caladea" w:hAnsi="Caladea"/>
                <w:sz w:val="22"/>
              </w:rPr>
              <w:lastRenderedPageBreak/>
              <w:t xml:space="preserve">(zabezpieczenie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Użytkownik po wpisaniu swojego hasła jest wstanie jedynie zmienić hasło dla dysku twardego. Możliwość włączenia/wyłączenia kontrolera SATA ( w tym w szczególności pojedynczo), Możliwość ustawienia kontrolera SATA w trybie RAID, Możliwość ustawienia portów USB w trybie „no BOOT”, czyli podczas startu komputer nie wykrywa urządzeń </w:t>
            </w:r>
            <w:proofErr w:type="spellStart"/>
            <w:r w:rsidRPr="00E3221D">
              <w:rPr>
                <w:rFonts w:ascii="Caladea" w:hAnsi="Caladea"/>
                <w:sz w:val="22"/>
              </w:rPr>
              <w:t>bootujących</w:t>
            </w:r>
            <w:proofErr w:type="spellEnd"/>
            <w:r w:rsidRPr="00E3221D">
              <w:rPr>
                <w:rFonts w:ascii="Caladea" w:hAnsi="Caladea"/>
                <w:sz w:val="22"/>
              </w:rPr>
              <w:t xml:space="preserve"> typu USB, natomiast po uruchomieniu systemu operacyjnego porty USB są aktywne. Możliwość wyłączania portów USB pojedynczo, Funkcja umożliwiająca dokonywania </w:t>
            </w:r>
            <w:proofErr w:type="spellStart"/>
            <w:r w:rsidRPr="00E3221D">
              <w:rPr>
                <w:rFonts w:ascii="Caladea" w:hAnsi="Caladea"/>
                <w:sz w:val="22"/>
              </w:rPr>
              <w:t>backup’u</w:t>
            </w:r>
            <w:proofErr w:type="spellEnd"/>
            <w:r w:rsidRPr="00E3221D">
              <w:rPr>
                <w:rFonts w:ascii="Caladea" w:hAnsi="Caladea"/>
                <w:sz w:val="22"/>
              </w:rPr>
              <w:t xml:space="preserve"> BIOS wraz z ustawieniami na dysku wewnętrznym lub na urządzeniu zewnętrznym. Oferowany BIOS musi posiadać poza swoją wewnętrzną strukturą menu szybkiego </w:t>
            </w:r>
            <w:proofErr w:type="spellStart"/>
            <w:r w:rsidRPr="00E3221D">
              <w:rPr>
                <w:rFonts w:ascii="Caladea" w:hAnsi="Caladea"/>
                <w:sz w:val="22"/>
              </w:rPr>
              <w:t>boot’owania</w:t>
            </w:r>
            <w:proofErr w:type="spellEnd"/>
            <w:r w:rsidRPr="00E3221D">
              <w:rPr>
                <w:rFonts w:ascii="Caladea" w:hAnsi="Caladea"/>
                <w:sz w:val="22"/>
              </w:rPr>
              <w:t xml:space="preserve"> które umożliwia min. : uruchamianie  systemu zainstalowanego na HDD, uruchamianie systemu z urządzeń zewnętrznych, uruchamianie systemu z serwera za pośrednictwem zintegrowanej karty sieciowej,  uruchomienie graficznego systemu diagnostycznego, wejścia do BIOS,  </w:t>
            </w:r>
            <w:proofErr w:type="spellStart"/>
            <w:r w:rsidRPr="00E3221D">
              <w:rPr>
                <w:rFonts w:ascii="Caladea" w:hAnsi="Caladea"/>
                <w:sz w:val="22"/>
              </w:rPr>
              <w:t>upgrade</w:t>
            </w:r>
            <w:proofErr w:type="spellEnd"/>
            <w:r w:rsidRPr="00E3221D">
              <w:rPr>
                <w:rFonts w:ascii="Caladea" w:hAnsi="Caladea"/>
                <w:sz w:val="22"/>
              </w:rPr>
              <w:t xml:space="preserve"> BIOS bez konieczności uruchamiania systemu operacyjnego, dostępu do sieci i/lub </w:t>
            </w:r>
            <w:proofErr w:type="spellStart"/>
            <w:r w:rsidRPr="00E3221D">
              <w:rPr>
                <w:rFonts w:ascii="Caladea" w:hAnsi="Caladea"/>
                <w:sz w:val="22"/>
              </w:rPr>
              <w:t>internetu</w:t>
            </w:r>
            <w:proofErr w:type="spellEnd"/>
          </w:p>
        </w:tc>
      </w:tr>
      <w:tr w:rsidR="00E76FEE" w:rsidTr="00E76FEE">
        <w:trPr>
          <w:trHeight w:val="284"/>
        </w:trPr>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lastRenderedPageBreak/>
              <w:t>14</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Certyfikaty i standardy</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Certyfikat ISO9001 dla producenta sprzętu (załączyć dokument potwierdzający spełnianie wymogu)</w:t>
            </w:r>
          </w:p>
          <w:p w:rsidR="00E76FEE" w:rsidRPr="00E3221D" w:rsidRDefault="00E76FEE" w:rsidP="009D1D68">
            <w:pPr>
              <w:rPr>
                <w:rFonts w:ascii="Caladea" w:hAnsi="Caladea"/>
                <w:sz w:val="22"/>
              </w:rPr>
            </w:pPr>
            <w:r w:rsidRPr="00E3221D">
              <w:rPr>
                <w:rFonts w:ascii="Caladea" w:hAnsi="Caladea"/>
                <w:sz w:val="22"/>
              </w:rPr>
              <w:t>Deklaracja zgodności CE (załączyć do oferty)</w:t>
            </w:r>
          </w:p>
          <w:p w:rsidR="00E76FEE" w:rsidRPr="00E3221D" w:rsidRDefault="00E76FEE" w:rsidP="009D1D68">
            <w:pPr>
              <w:rPr>
                <w:rFonts w:ascii="Caladea" w:hAnsi="Caladea"/>
                <w:sz w:val="22"/>
              </w:rPr>
            </w:pPr>
            <w:r w:rsidRPr="00E3221D">
              <w:rPr>
                <w:rFonts w:ascii="Caladea" w:hAnsi="Caladea"/>
                <w:sz w:val="22"/>
              </w:rPr>
              <w:t>Urządzenia wyprodukowane są przez producenta, zgodnie z normą PN-EN  ISO 50001</w:t>
            </w:r>
          </w:p>
          <w:p w:rsidR="00E76FEE" w:rsidRPr="00E3221D" w:rsidRDefault="00E76FEE" w:rsidP="009D1D68">
            <w:pPr>
              <w:rPr>
                <w:rFonts w:ascii="Caladea" w:hAnsi="Caladea"/>
                <w:sz w:val="22"/>
              </w:rPr>
            </w:pPr>
            <w:r w:rsidRPr="00E3221D">
              <w:rPr>
                <w:rFonts w:ascii="Caladea" w:hAnsi="Caladea"/>
                <w:sz w:val="22"/>
              </w:rPr>
              <w:t xml:space="preserve">Certyfikat TCO Edge, wymagana certyfikacja na stronie : </w:t>
            </w:r>
            <w:hyperlink r:id="rId9">
              <w:r w:rsidRPr="00E3221D">
                <w:rPr>
                  <w:rStyle w:val="czeinternetowe"/>
                  <w:rFonts w:ascii="Caladea" w:hAnsi="Caladea"/>
                  <w:sz w:val="22"/>
                </w:rPr>
                <w:t>http://tcocertified.com/product-finder/</w:t>
              </w:r>
            </w:hyperlink>
            <w:r w:rsidRPr="00E3221D">
              <w:rPr>
                <w:rFonts w:ascii="Caladea" w:hAnsi="Caladea"/>
                <w:sz w:val="22"/>
              </w:rPr>
              <w:t>– załączyć do oferty wydruk z strony</w:t>
            </w:r>
          </w:p>
          <w:p w:rsidR="00E76FEE" w:rsidRPr="00E3221D" w:rsidRDefault="00E76FEE" w:rsidP="009D1D68">
            <w:pPr>
              <w:rPr>
                <w:rFonts w:ascii="Caladea" w:hAnsi="Caladea"/>
                <w:sz w:val="22"/>
              </w:rPr>
            </w:pPr>
            <w:r w:rsidRPr="00E3221D">
              <w:rPr>
                <w:rFonts w:ascii="Caladea" w:hAnsi="Caladea"/>
                <w:sz w:val="22"/>
              </w:rPr>
              <w:t xml:space="preserve">Potwierdzenie spełnienia kryteriów środowiskowych, w tym zgodności z dyrektywą </w:t>
            </w:r>
            <w:proofErr w:type="spellStart"/>
            <w:r w:rsidRPr="00E3221D">
              <w:rPr>
                <w:rFonts w:ascii="Caladea" w:hAnsi="Caladea"/>
                <w:sz w:val="22"/>
              </w:rPr>
              <w:t>RoHS</w:t>
            </w:r>
            <w:proofErr w:type="spellEnd"/>
            <w:r w:rsidRPr="00E3221D">
              <w:rPr>
                <w:rFonts w:ascii="Caladea" w:hAnsi="Caladea"/>
                <w:sz w:val="22"/>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E76FEE" w:rsidTr="00E76FEE">
        <w:trPr>
          <w:trHeight w:val="284"/>
        </w:trPr>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t>15</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Ergonomia</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 xml:space="preserve">Głośność jednostki centralnej mierzona zgodnie z normą ISO 7779 oraz wykazana zgodnie z normą ISO 9296 w pozycji obserwatora w trybie pracy dysku twardego (IDLE) wynosząca </w:t>
            </w:r>
            <w:r w:rsidRPr="00E3221D">
              <w:rPr>
                <w:rFonts w:ascii="Caladea" w:hAnsi="Caladea"/>
                <w:sz w:val="22"/>
              </w:rPr>
              <w:lastRenderedPageBreak/>
              <w:t xml:space="preserve">maksymalnie 30 </w:t>
            </w:r>
            <w:proofErr w:type="spellStart"/>
            <w:r w:rsidRPr="00E3221D">
              <w:rPr>
                <w:rFonts w:ascii="Caladea" w:hAnsi="Caladea"/>
                <w:sz w:val="22"/>
              </w:rPr>
              <w:t>dB</w:t>
            </w:r>
            <w:proofErr w:type="spellEnd"/>
            <w:r w:rsidRPr="00E3221D">
              <w:rPr>
                <w:rFonts w:ascii="Caladea" w:hAnsi="Caladea"/>
                <w:sz w:val="22"/>
              </w:rPr>
              <w:t xml:space="preserve"> (załączyć oświadczenie producenta)</w:t>
            </w:r>
          </w:p>
        </w:tc>
      </w:tr>
      <w:tr w:rsidR="00E76FEE" w:rsidTr="00E76FEE">
        <w:trPr>
          <w:trHeight w:val="284"/>
        </w:trPr>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lastRenderedPageBreak/>
              <w:t>16</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Warunki gwarancji</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24 miesiące</w:t>
            </w:r>
          </w:p>
          <w:p w:rsidR="00E76FEE" w:rsidRPr="00E3221D" w:rsidRDefault="00E76FEE" w:rsidP="009D1D68">
            <w:pPr>
              <w:rPr>
                <w:rFonts w:ascii="Caladea" w:hAnsi="Caladea"/>
                <w:sz w:val="22"/>
              </w:rPr>
            </w:pPr>
            <w:r w:rsidRPr="00E3221D">
              <w:rPr>
                <w:rFonts w:ascii="Caladea" w:hAnsi="Caladea"/>
                <w:sz w:val="22"/>
              </w:rPr>
              <w:t>Niezależnie od wybranego poziomu wsparcia technicznego:</w:t>
            </w:r>
          </w:p>
          <w:p w:rsidR="00E76FEE" w:rsidRPr="00E3221D" w:rsidRDefault="00E76FEE" w:rsidP="009D1D68">
            <w:pPr>
              <w:rPr>
                <w:rFonts w:ascii="Caladea" w:hAnsi="Caladea"/>
                <w:sz w:val="22"/>
              </w:rPr>
            </w:pPr>
            <w:r w:rsidRPr="00E3221D">
              <w:rPr>
                <w:rFonts w:ascii="Caladea" w:hAnsi="Caladea"/>
                <w:sz w:val="22"/>
              </w:rPr>
              <w:t xml:space="preserve">Firma serwisująca musi posiadać ISO 9001:2008 na świadczenie usług serwisowych oraz posiadać autoryzacje producenta urządzeń – dokumenty potwierdzające </w:t>
            </w:r>
            <w:r w:rsidR="00E3221D" w:rsidRPr="00E3221D">
              <w:rPr>
                <w:rFonts w:ascii="Caladea" w:hAnsi="Caladea"/>
                <w:sz w:val="22"/>
              </w:rPr>
              <w:t xml:space="preserve">na żądanie Zamawiającego </w:t>
            </w:r>
            <w:r w:rsidRPr="00E3221D">
              <w:rPr>
                <w:rFonts w:ascii="Caladea" w:hAnsi="Caladea"/>
                <w:sz w:val="22"/>
              </w:rPr>
              <w:t>należy załączyć do oferty.</w:t>
            </w:r>
          </w:p>
          <w:p w:rsidR="00E76FEE" w:rsidRPr="00E3221D" w:rsidRDefault="00E76FEE" w:rsidP="009D1D68">
            <w:pPr>
              <w:rPr>
                <w:rFonts w:ascii="Caladea" w:hAnsi="Caladea"/>
                <w:sz w:val="22"/>
              </w:rPr>
            </w:pPr>
            <w:r w:rsidRPr="00E3221D">
              <w:rPr>
                <w:rFonts w:ascii="Caladea" w:hAnsi="Caladea"/>
                <w:sz w:val="22"/>
              </w:rPr>
              <w:t xml:space="preserve">Wymagane dołączenie do oferty oświadczenia Producenta </w:t>
            </w:r>
            <w:proofErr w:type="spellStart"/>
            <w:r w:rsidRPr="00E3221D">
              <w:rPr>
                <w:rFonts w:ascii="Caladea" w:hAnsi="Caladea"/>
                <w:sz w:val="22"/>
              </w:rPr>
              <w:t>potwierdzając,że</w:t>
            </w:r>
            <w:proofErr w:type="spellEnd"/>
            <w:r w:rsidRPr="00E3221D">
              <w:rPr>
                <w:rFonts w:ascii="Caladea" w:hAnsi="Caladea"/>
                <w:sz w:val="22"/>
              </w:rPr>
              <w:t xml:space="preserve"> Serwis urządzeń będzie realizowany bezpośrednio przez Producenta i/lub we współpracy z Autoryzowanym Partnerem Serwisowym Producenta.</w:t>
            </w:r>
          </w:p>
          <w:p w:rsidR="00E76FEE" w:rsidRPr="00E3221D" w:rsidRDefault="00E76FEE" w:rsidP="009D1D68">
            <w:pPr>
              <w:rPr>
                <w:rFonts w:ascii="Caladea" w:hAnsi="Caladea"/>
                <w:sz w:val="22"/>
              </w:rPr>
            </w:pPr>
            <w:r w:rsidRPr="00E3221D">
              <w:rPr>
                <w:rFonts w:ascii="Caladea" w:hAnsi="Caladea"/>
                <w:sz w:val="22"/>
              </w:rPr>
              <w:t>Minimalny czas trwania wsparcia technicznego producenta wynosi 3 lata, z możliwością odpłatnego  przedłużenia tego okresu do 4 lub 5 lat od daty dostawy.</w:t>
            </w:r>
          </w:p>
          <w:p w:rsidR="00E76FEE" w:rsidRPr="00E3221D" w:rsidRDefault="00E76FEE" w:rsidP="009D1D68">
            <w:pPr>
              <w:rPr>
                <w:rFonts w:ascii="Caladea" w:hAnsi="Caladea"/>
                <w:sz w:val="22"/>
              </w:rPr>
            </w:pPr>
            <w:r w:rsidRPr="00E3221D">
              <w:rPr>
                <w:rFonts w:ascii="Caladea" w:hAnsi="Caladea"/>
                <w:sz w:val="22"/>
              </w:rPr>
              <w:t>Sposób realizacji usług wsparcia technicznego :</w:t>
            </w:r>
          </w:p>
          <w:p w:rsidR="00E76FEE" w:rsidRPr="00E3221D" w:rsidRDefault="00E76FEE" w:rsidP="00B11184">
            <w:pPr>
              <w:numPr>
                <w:ilvl w:val="0"/>
                <w:numId w:val="3"/>
              </w:numPr>
              <w:suppressAutoHyphens/>
              <w:spacing w:after="140" w:line="288" w:lineRule="auto"/>
              <w:jc w:val="both"/>
              <w:rPr>
                <w:rFonts w:ascii="Caladea" w:hAnsi="Caladea"/>
                <w:sz w:val="22"/>
              </w:rPr>
            </w:pPr>
            <w:r w:rsidRPr="00E3221D">
              <w:rPr>
                <w:rFonts w:ascii="Caladea" w:hAnsi="Caladea"/>
                <w:sz w:val="22"/>
              </w:rPr>
              <w:t xml:space="preserve">Telefoniczne zgłaszanie usterek w dni robocze w godzinach 8-17. </w:t>
            </w:r>
          </w:p>
          <w:p w:rsidR="00E76FEE" w:rsidRPr="00E3221D" w:rsidRDefault="00E76FEE" w:rsidP="00B11184">
            <w:pPr>
              <w:numPr>
                <w:ilvl w:val="0"/>
                <w:numId w:val="3"/>
              </w:numPr>
              <w:suppressAutoHyphens/>
              <w:spacing w:after="140" w:line="288" w:lineRule="auto"/>
              <w:jc w:val="both"/>
              <w:rPr>
                <w:rFonts w:ascii="Caladea" w:hAnsi="Caladea"/>
                <w:sz w:val="22"/>
              </w:rPr>
            </w:pPr>
            <w:r w:rsidRPr="00E3221D">
              <w:rPr>
                <w:rFonts w:ascii="Caladea" w:hAnsi="Caladea"/>
                <w:sz w:val="22"/>
              </w:rPr>
              <w:t>Dedykowany bezpłatny portal online do zgłaszania usterek i zarządzania zgłoszeniami serwisowymi.</w:t>
            </w:r>
          </w:p>
          <w:p w:rsidR="00E76FEE" w:rsidRPr="00E3221D" w:rsidRDefault="00E76FEE" w:rsidP="00B11184">
            <w:pPr>
              <w:numPr>
                <w:ilvl w:val="0"/>
                <w:numId w:val="3"/>
              </w:numPr>
              <w:suppressAutoHyphens/>
              <w:spacing w:after="140" w:line="288" w:lineRule="auto"/>
              <w:jc w:val="both"/>
              <w:rPr>
                <w:rFonts w:ascii="Caladea" w:hAnsi="Caladea"/>
                <w:sz w:val="22"/>
              </w:rPr>
            </w:pPr>
            <w:r w:rsidRPr="00E3221D">
              <w:rPr>
                <w:rFonts w:ascii="Caladea" w:hAnsi="Caladea"/>
                <w:sz w:val="22"/>
              </w:rPr>
              <w:t>Opcjonalna pomoc techniczna za pośrednictwem mediów społecznościowych (czat online, Facebook, Twitter).</w:t>
            </w:r>
          </w:p>
          <w:p w:rsidR="00E76FEE" w:rsidRPr="00E3221D" w:rsidRDefault="00E76FEE" w:rsidP="009D1D68">
            <w:pPr>
              <w:rPr>
                <w:rFonts w:ascii="Caladea" w:hAnsi="Caladea"/>
                <w:sz w:val="22"/>
              </w:rPr>
            </w:pPr>
            <w:r w:rsidRPr="00E3221D">
              <w:rPr>
                <w:rFonts w:ascii="Caladea" w:hAnsi="Caladea"/>
                <w:sz w:val="22"/>
              </w:rPr>
              <w:t xml:space="preserve">Wsparcie techniczne dla sprzętu będzie dostarczane zdalnie lub w miejscu instalacji urządzenia, w zależności od rodzaju zgłaszanej awarii. </w:t>
            </w:r>
          </w:p>
          <w:p w:rsidR="00E76FEE" w:rsidRPr="00E3221D" w:rsidRDefault="00E76FEE" w:rsidP="009D1D68">
            <w:pPr>
              <w:rPr>
                <w:rFonts w:ascii="Caladea" w:hAnsi="Caladea"/>
                <w:sz w:val="22"/>
              </w:rPr>
            </w:pPr>
            <w:r w:rsidRPr="00E3221D">
              <w:rPr>
                <w:rFonts w:ascii="Caladea" w:hAnsi="Caladea"/>
                <w:sz w:val="22"/>
              </w:rPr>
              <w:t xml:space="preserve">W przypadku awarii zakwalifikowanej jako naprawa w miejscu instalacji </w:t>
            </w:r>
            <w:proofErr w:type="spellStart"/>
            <w:r w:rsidRPr="00E3221D">
              <w:rPr>
                <w:rFonts w:ascii="Caladea" w:hAnsi="Caladea"/>
                <w:sz w:val="22"/>
              </w:rPr>
              <w:t>urządzenia,część</w:t>
            </w:r>
            <w:proofErr w:type="spellEnd"/>
            <w:r w:rsidRPr="00E3221D">
              <w:rPr>
                <w:rFonts w:ascii="Caladea" w:hAnsi="Caladea"/>
                <w:sz w:val="22"/>
              </w:rPr>
              <w:t xml:space="preserve"> zamienna wymagana do naprawy i/lub technik serwisowy przybędzie na miejsce wskazane przez klienta na następny dzień roboczy od momentu skutecznego przyjęcia zgłoszenia przez Dział Wsparcia Technicznego.</w:t>
            </w:r>
          </w:p>
          <w:p w:rsidR="00E76FEE" w:rsidRPr="00E3221D" w:rsidRDefault="00E76FEE" w:rsidP="009D1D68">
            <w:pPr>
              <w:rPr>
                <w:rFonts w:ascii="Caladea" w:hAnsi="Caladea"/>
                <w:sz w:val="22"/>
              </w:rPr>
            </w:pPr>
            <w:r w:rsidRPr="00E3221D">
              <w:rPr>
                <w:rFonts w:ascii="Caladea" w:hAnsi="Caladea"/>
                <w:sz w:val="22"/>
              </w:rPr>
              <w:t>Możliwość sprawdzenia aktualnego okresu i poziomu wsparcia technicznego dla urządzeń za pośrednictwem strony internetowej producenta.</w:t>
            </w:r>
          </w:p>
          <w:p w:rsidR="00E76FEE" w:rsidRPr="00E3221D" w:rsidRDefault="00E76FEE" w:rsidP="009D1D68">
            <w:pPr>
              <w:rPr>
                <w:rFonts w:ascii="Caladea" w:hAnsi="Caladea"/>
                <w:sz w:val="22"/>
              </w:rPr>
            </w:pPr>
            <w:r w:rsidRPr="00E3221D">
              <w:rPr>
                <w:rFonts w:ascii="Caladea" w:hAnsi="Caladea"/>
                <w:sz w:val="22"/>
              </w:rPr>
              <w:t xml:space="preserve">Możliwość pobrania aktualnych wersji sterowników oraz </w:t>
            </w:r>
            <w:proofErr w:type="spellStart"/>
            <w:r w:rsidRPr="00E3221D">
              <w:rPr>
                <w:rFonts w:ascii="Caladea" w:hAnsi="Caladea"/>
                <w:sz w:val="22"/>
              </w:rPr>
              <w:t>firmware</w:t>
            </w:r>
            <w:proofErr w:type="spellEnd"/>
            <w:r w:rsidRPr="00E3221D">
              <w:rPr>
                <w:rFonts w:ascii="Caladea" w:hAnsi="Caladea"/>
                <w:sz w:val="22"/>
              </w:rPr>
              <w:t xml:space="preserve"> urządzenia za pośrednictwem strony internetowej producenta również dla urządzeń z nieaktywnym wsparciem technicznym.</w:t>
            </w:r>
          </w:p>
          <w:p w:rsidR="00E76FEE" w:rsidRPr="00E3221D" w:rsidRDefault="00E76FEE" w:rsidP="009D1D68">
            <w:pPr>
              <w:rPr>
                <w:rFonts w:ascii="Caladea" w:hAnsi="Caladea"/>
                <w:sz w:val="22"/>
              </w:rPr>
            </w:pPr>
            <w:r w:rsidRPr="00E3221D">
              <w:rPr>
                <w:rFonts w:ascii="Caladea" w:hAnsi="Caladea"/>
                <w:sz w:val="22"/>
              </w:rPr>
              <w:t>Dostawca zapewni bezpłatne oprogramowanie do automatycznej diagnostyki i zdalnego zgłaszania awarii do serwisu</w:t>
            </w:r>
          </w:p>
        </w:tc>
      </w:tr>
      <w:tr w:rsidR="00E76FEE" w:rsidTr="00E76FEE">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t>17</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Wsparcie techniczne producenta</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 xml:space="preserve">Możliwość telefonicznego sprawdzenia konfiguracji sprzętowej komputera oraz warunków gwarancji po podaniu numeru </w:t>
            </w:r>
            <w:r w:rsidRPr="00E3221D">
              <w:rPr>
                <w:rFonts w:ascii="Caladea" w:hAnsi="Caladea"/>
                <w:sz w:val="22"/>
              </w:rPr>
              <w:lastRenderedPageBreak/>
              <w:t>seryjnego bezpośrednio u producenta lub jego przedstawiciela.</w:t>
            </w:r>
          </w:p>
          <w:p w:rsidR="00E76FEE" w:rsidRPr="00E3221D" w:rsidRDefault="00E76FEE" w:rsidP="009D1D68">
            <w:pPr>
              <w:rPr>
                <w:rFonts w:ascii="Caladea" w:hAnsi="Caladea"/>
                <w:sz w:val="22"/>
              </w:rPr>
            </w:pPr>
            <w:r w:rsidRPr="00E3221D">
              <w:rPr>
                <w:rFonts w:ascii="Caladea" w:hAnsi="Caladea"/>
                <w:sz w:val="22"/>
              </w:rPr>
              <w:t>Dostęp do najnowszych sterowników i uaktualnień na stronie producenta zestawu realizowany poprzez podanie na dedykowanej stronie internetowej producenta numeru seryjnego lub modelu komputera – do oferty należy dołączyć link strony</w:t>
            </w:r>
          </w:p>
        </w:tc>
      </w:tr>
      <w:tr w:rsidR="00E76FEE" w:rsidTr="00E76FEE">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lastRenderedPageBreak/>
              <w:t>18</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System operacyjny</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 xml:space="preserve">Zainstalowany system operacyjny </w:t>
            </w:r>
            <w:proofErr w:type="spellStart"/>
            <w:r w:rsidRPr="00E3221D">
              <w:rPr>
                <w:rFonts w:ascii="Caladea" w:hAnsi="Caladea"/>
                <w:sz w:val="22"/>
              </w:rPr>
              <w:t>Ubuntu</w:t>
            </w:r>
            <w:proofErr w:type="spellEnd"/>
            <w:r w:rsidRPr="00E3221D">
              <w:rPr>
                <w:rFonts w:ascii="Caladea" w:hAnsi="Caladea"/>
                <w:sz w:val="22"/>
              </w:rPr>
              <w:t xml:space="preserve"> Linux</w:t>
            </w:r>
          </w:p>
        </w:tc>
      </w:tr>
      <w:tr w:rsidR="00E76FEE" w:rsidTr="00E76FEE">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t>19</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Wymagania dodatkowe</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B11184">
            <w:pPr>
              <w:numPr>
                <w:ilvl w:val="0"/>
                <w:numId w:val="1"/>
              </w:numPr>
              <w:suppressAutoHyphens/>
              <w:spacing w:after="140" w:line="288" w:lineRule="auto"/>
              <w:jc w:val="both"/>
              <w:rPr>
                <w:rFonts w:ascii="Caladea" w:hAnsi="Caladea"/>
                <w:sz w:val="22"/>
              </w:rPr>
            </w:pPr>
            <w:r w:rsidRPr="00E3221D">
              <w:rPr>
                <w:rFonts w:ascii="Caladea" w:hAnsi="Caladea"/>
                <w:sz w:val="22"/>
                <w:lang w:val="en-US"/>
              </w:rPr>
              <w:t>min. 1 x RS232,</w:t>
            </w:r>
          </w:p>
          <w:p w:rsidR="00E76FEE" w:rsidRPr="00E3221D" w:rsidRDefault="00E76FEE" w:rsidP="00B11184">
            <w:pPr>
              <w:numPr>
                <w:ilvl w:val="0"/>
                <w:numId w:val="1"/>
              </w:numPr>
              <w:suppressAutoHyphens/>
              <w:spacing w:after="140" w:line="288" w:lineRule="auto"/>
              <w:jc w:val="both"/>
              <w:rPr>
                <w:rFonts w:ascii="Caladea" w:hAnsi="Caladea"/>
                <w:sz w:val="22"/>
              </w:rPr>
            </w:pPr>
            <w:r w:rsidRPr="00E3221D">
              <w:rPr>
                <w:rFonts w:ascii="Caladea" w:hAnsi="Caladea"/>
                <w:sz w:val="22"/>
                <w:lang w:val="en-US"/>
              </w:rPr>
              <w:t xml:space="preserve">min. 2 x PS/2, </w:t>
            </w:r>
          </w:p>
          <w:p w:rsidR="00E76FEE" w:rsidRPr="00E3221D" w:rsidRDefault="00E76FEE" w:rsidP="00B11184">
            <w:pPr>
              <w:numPr>
                <w:ilvl w:val="0"/>
                <w:numId w:val="1"/>
              </w:numPr>
              <w:suppressAutoHyphens/>
              <w:spacing w:after="140" w:line="288" w:lineRule="auto"/>
              <w:jc w:val="both"/>
              <w:rPr>
                <w:rFonts w:ascii="Caladea" w:hAnsi="Caladea"/>
                <w:sz w:val="22"/>
                <w:lang w:val="en-US"/>
              </w:rPr>
            </w:pPr>
            <w:r w:rsidRPr="00E3221D">
              <w:rPr>
                <w:rFonts w:ascii="Caladea" w:hAnsi="Caladea"/>
                <w:sz w:val="22"/>
                <w:lang w:val="en-US"/>
              </w:rPr>
              <w:t>min. 2 x DisplayPort v1.1a;</w:t>
            </w:r>
          </w:p>
          <w:p w:rsidR="00E76FEE" w:rsidRPr="00E3221D" w:rsidRDefault="00E76FEE" w:rsidP="00B11184">
            <w:pPr>
              <w:numPr>
                <w:ilvl w:val="0"/>
                <w:numId w:val="1"/>
              </w:numPr>
              <w:suppressAutoHyphens/>
              <w:spacing w:after="140" w:line="288" w:lineRule="auto"/>
              <w:jc w:val="both"/>
              <w:rPr>
                <w:rFonts w:ascii="Caladea" w:hAnsi="Caladea"/>
                <w:sz w:val="22"/>
              </w:rPr>
            </w:pPr>
            <w:r w:rsidRPr="00E3221D">
              <w:rPr>
                <w:rFonts w:ascii="Caladea" w:hAnsi="Caladea"/>
                <w:sz w:val="22"/>
              </w:rPr>
              <w:t>min. 10 portów USB wyprowadzonych na zewnątrz komputera w układzie :</w:t>
            </w:r>
          </w:p>
          <w:p w:rsidR="00E76FEE" w:rsidRPr="00E3221D" w:rsidRDefault="00E76FEE" w:rsidP="009D1D68">
            <w:pPr>
              <w:rPr>
                <w:rFonts w:ascii="Caladea" w:hAnsi="Caladea"/>
                <w:sz w:val="22"/>
              </w:rPr>
            </w:pPr>
            <w:r w:rsidRPr="00E3221D">
              <w:rPr>
                <w:rFonts w:ascii="Caladea" w:hAnsi="Caladea"/>
                <w:sz w:val="22"/>
              </w:rPr>
              <w:t>- panel przedni : 1x USB 3.1 TYP C oraz 3x USB TYP A w tym min. 1x USB 3.1</w:t>
            </w:r>
          </w:p>
          <w:p w:rsidR="00E76FEE" w:rsidRPr="00E3221D" w:rsidRDefault="00E76FEE" w:rsidP="009D1D68">
            <w:pPr>
              <w:rPr>
                <w:rFonts w:ascii="Caladea" w:hAnsi="Caladea"/>
                <w:sz w:val="22"/>
              </w:rPr>
            </w:pPr>
            <w:r w:rsidRPr="00E3221D">
              <w:rPr>
                <w:rFonts w:ascii="Caladea" w:hAnsi="Caladea"/>
                <w:sz w:val="22"/>
              </w:rPr>
              <w:t>- panel tylny : 6x USB TYP A w tym 4x USB 3.1</w:t>
            </w:r>
          </w:p>
          <w:p w:rsidR="00E76FEE" w:rsidRPr="00E3221D" w:rsidRDefault="00E76FEE" w:rsidP="00B11184">
            <w:pPr>
              <w:numPr>
                <w:ilvl w:val="0"/>
                <w:numId w:val="1"/>
              </w:numPr>
              <w:suppressAutoHyphens/>
              <w:spacing w:after="140" w:line="288" w:lineRule="auto"/>
              <w:jc w:val="both"/>
              <w:rPr>
                <w:rFonts w:ascii="Caladea" w:hAnsi="Caladea"/>
                <w:sz w:val="22"/>
              </w:rPr>
            </w:pPr>
            <w:r w:rsidRPr="00E3221D">
              <w:rPr>
                <w:rFonts w:ascii="Caladea" w:hAnsi="Caladea"/>
                <w:sz w:val="22"/>
              </w:rPr>
              <w:t xml:space="preserve">Na przednim panelu min 1 port audio tzw. </w:t>
            </w:r>
            <w:proofErr w:type="spellStart"/>
            <w:r w:rsidRPr="00E3221D">
              <w:rPr>
                <w:rFonts w:ascii="Caladea" w:hAnsi="Caladea"/>
                <w:sz w:val="22"/>
              </w:rPr>
              <w:t>combo</w:t>
            </w:r>
            <w:proofErr w:type="spellEnd"/>
            <w:r w:rsidRPr="00E3221D">
              <w:rPr>
                <w:rFonts w:ascii="Caladea" w:hAnsi="Caladea"/>
                <w:sz w:val="22"/>
              </w:rPr>
              <w:t xml:space="preserve"> ( słuchawka/mikrofon) na tylnym panelu min. 1 port Line-out</w:t>
            </w:r>
          </w:p>
          <w:p w:rsidR="00E76FEE" w:rsidRPr="00E3221D" w:rsidRDefault="00E76FEE" w:rsidP="00B11184">
            <w:pPr>
              <w:numPr>
                <w:ilvl w:val="0"/>
                <w:numId w:val="1"/>
              </w:numPr>
              <w:suppressAutoHyphens/>
              <w:spacing w:after="140" w:line="288" w:lineRule="auto"/>
              <w:jc w:val="both"/>
              <w:rPr>
                <w:rFonts w:ascii="Caladea" w:hAnsi="Caladea"/>
                <w:sz w:val="22"/>
              </w:rPr>
            </w:pPr>
            <w:r w:rsidRPr="00E3221D">
              <w:rPr>
                <w:rFonts w:ascii="Caladea" w:hAnsi="Caladea"/>
                <w:sz w:val="22"/>
              </w:rPr>
              <w:t xml:space="preserve">Karta sieciowa 10/100/1000 Ethernet RJ 45, </w:t>
            </w:r>
          </w:p>
          <w:p w:rsidR="00E76FEE" w:rsidRPr="00E3221D" w:rsidRDefault="00E76FEE" w:rsidP="00B11184">
            <w:pPr>
              <w:numPr>
                <w:ilvl w:val="0"/>
                <w:numId w:val="1"/>
              </w:numPr>
              <w:suppressAutoHyphens/>
              <w:spacing w:after="140" w:line="288" w:lineRule="auto"/>
              <w:jc w:val="both"/>
              <w:rPr>
                <w:rFonts w:ascii="Caladea" w:hAnsi="Caladea"/>
                <w:sz w:val="22"/>
              </w:rPr>
            </w:pPr>
            <w:r w:rsidRPr="00E3221D">
              <w:rPr>
                <w:rFonts w:ascii="Caladea" w:hAnsi="Caladea"/>
                <w:sz w:val="22"/>
              </w:rPr>
              <w:t xml:space="preserve">Płyta główna wyposażona w </w:t>
            </w:r>
          </w:p>
          <w:p w:rsidR="00E76FEE" w:rsidRPr="00E3221D" w:rsidRDefault="00E76FEE" w:rsidP="009D1D68">
            <w:pPr>
              <w:rPr>
                <w:rFonts w:ascii="Caladea" w:hAnsi="Caladea"/>
                <w:sz w:val="22"/>
              </w:rPr>
            </w:pPr>
            <w:r w:rsidRPr="00E3221D">
              <w:rPr>
                <w:rFonts w:ascii="Caladea" w:hAnsi="Caladea"/>
                <w:sz w:val="22"/>
                <w:lang w:val="fr-FR"/>
              </w:rPr>
              <w:t xml:space="preserve">min  1 złącze PCI Express x16 Gen.3, </w:t>
            </w:r>
          </w:p>
          <w:p w:rsidR="00E76FEE" w:rsidRPr="00E3221D" w:rsidRDefault="00E76FEE" w:rsidP="009D1D68">
            <w:pPr>
              <w:rPr>
                <w:rFonts w:ascii="Caladea" w:hAnsi="Caladea"/>
                <w:sz w:val="22"/>
              </w:rPr>
            </w:pPr>
            <w:r w:rsidRPr="00E3221D">
              <w:rPr>
                <w:rFonts w:ascii="Caladea" w:hAnsi="Caladea"/>
                <w:sz w:val="22"/>
              </w:rPr>
              <w:t xml:space="preserve">min. 2 złącza PCI </w:t>
            </w:r>
            <w:proofErr w:type="spellStart"/>
            <w:r w:rsidRPr="00E3221D">
              <w:rPr>
                <w:rFonts w:ascii="Caladea" w:hAnsi="Caladea"/>
                <w:sz w:val="22"/>
              </w:rPr>
              <w:t>Epress</w:t>
            </w:r>
            <w:proofErr w:type="spellEnd"/>
            <w:r w:rsidRPr="00E3221D">
              <w:rPr>
                <w:rFonts w:ascii="Caladea" w:hAnsi="Caladea"/>
                <w:sz w:val="22"/>
              </w:rPr>
              <w:t xml:space="preserve"> x 4,   </w:t>
            </w:r>
          </w:p>
          <w:p w:rsidR="00E76FEE" w:rsidRPr="00E3221D" w:rsidRDefault="00E76FEE" w:rsidP="009D1D68">
            <w:pPr>
              <w:rPr>
                <w:rFonts w:ascii="Caladea" w:hAnsi="Caladea"/>
                <w:sz w:val="22"/>
              </w:rPr>
            </w:pPr>
            <w:r w:rsidRPr="00E3221D">
              <w:rPr>
                <w:rFonts w:ascii="Caladea" w:hAnsi="Caladea"/>
                <w:sz w:val="22"/>
              </w:rPr>
              <w:t xml:space="preserve">min. 1 złącze PCI 32bit,  </w:t>
            </w:r>
          </w:p>
          <w:p w:rsidR="00E76FEE" w:rsidRPr="00E3221D" w:rsidRDefault="00E76FEE" w:rsidP="009D1D68">
            <w:pPr>
              <w:rPr>
                <w:rFonts w:ascii="Caladea" w:hAnsi="Caladea"/>
                <w:sz w:val="22"/>
              </w:rPr>
            </w:pPr>
            <w:r w:rsidRPr="00E3221D">
              <w:rPr>
                <w:rFonts w:ascii="Caladea" w:hAnsi="Caladea"/>
                <w:sz w:val="22"/>
              </w:rPr>
              <w:t xml:space="preserve">min. 4 złącza DIMM z obsługą do 64GB DDR4 pamięci RAM, </w:t>
            </w:r>
          </w:p>
          <w:p w:rsidR="00E76FEE" w:rsidRPr="00E3221D" w:rsidRDefault="00E76FEE" w:rsidP="009D1D68">
            <w:pPr>
              <w:rPr>
                <w:rFonts w:ascii="Caladea" w:hAnsi="Caladea"/>
                <w:sz w:val="22"/>
              </w:rPr>
            </w:pPr>
            <w:r w:rsidRPr="00E3221D">
              <w:rPr>
                <w:rFonts w:ascii="Caladea" w:hAnsi="Caladea"/>
                <w:sz w:val="22"/>
              </w:rPr>
              <w:t xml:space="preserve">min. 4  złącza SATA w tym 3 </w:t>
            </w:r>
            <w:proofErr w:type="spellStart"/>
            <w:r w:rsidRPr="00E3221D">
              <w:rPr>
                <w:rFonts w:ascii="Caladea" w:hAnsi="Caladea"/>
                <w:sz w:val="22"/>
              </w:rPr>
              <w:t>szt</w:t>
            </w:r>
            <w:proofErr w:type="spellEnd"/>
            <w:r w:rsidRPr="00E3221D">
              <w:rPr>
                <w:rFonts w:ascii="Caladea" w:hAnsi="Caladea"/>
                <w:sz w:val="22"/>
              </w:rPr>
              <w:t xml:space="preserve"> SATA 3.0;</w:t>
            </w:r>
          </w:p>
          <w:p w:rsidR="00E76FEE" w:rsidRPr="00E3221D" w:rsidRDefault="00E76FEE" w:rsidP="009D1D68">
            <w:pPr>
              <w:rPr>
                <w:rFonts w:ascii="Caladea" w:hAnsi="Caladea"/>
                <w:sz w:val="22"/>
              </w:rPr>
            </w:pPr>
            <w:r w:rsidRPr="00E3221D">
              <w:rPr>
                <w:rFonts w:ascii="Caladea" w:hAnsi="Caladea"/>
                <w:sz w:val="22"/>
              </w:rPr>
              <w:t>min. 1 złącze M.2</w:t>
            </w:r>
          </w:p>
          <w:p w:rsidR="00E76FEE" w:rsidRPr="00E3221D" w:rsidRDefault="00E76FEE" w:rsidP="00B11184">
            <w:pPr>
              <w:numPr>
                <w:ilvl w:val="0"/>
                <w:numId w:val="1"/>
              </w:numPr>
              <w:suppressAutoHyphens/>
              <w:spacing w:after="140" w:line="288" w:lineRule="auto"/>
              <w:jc w:val="both"/>
              <w:rPr>
                <w:rFonts w:ascii="Caladea" w:hAnsi="Caladea"/>
                <w:sz w:val="22"/>
              </w:rPr>
            </w:pPr>
            <w:r w:rsidRPr="00E3221D">
              <w:rPr>
                <w:rFonts w:ascii="Caladea" w:hAnsi="Caladea"/>
                <w:sz w:val="22"/>
              </w:rPr>
              <w:t>Zintegrowany z płytą główną kontroler RAID 0 i RAID 1</w:t>
            </w:r>
          </w:p>
          <w:p w:rsidR="00E76FEE" w:rsidRPr="00E3221D" w:rsidRDefault="00E76FEE" w:rsidP="00B11184">
            <w:pPr>
              <w:numPr>
                <w:ilvl w:val="0"/>
                <w:numId w:val="1"/>
              </w:numPr>
              <w:suppressAutoHyphens/>
              <w:spacing w:after="140" w:line="288" w:lineRule="auto"/>
              <w:jc w:val="both"/>
              <w:rPr>
                <w:rFonts w:ascii="Caladea" w:hAnsi="Caladea"/>
                <w:sz w:val="22"/>
              </w:rPr>
            </w:pPr>
            <w:r w:rsidRPr="00E3221D">
              <w:rPr>
                <w:rFonts w:ascii="Caladea" w:hAnsi="Caladea"/>
                <w:sz w:val="22"/>
              </w:rPr>
              <w:t xml:space="preserve">Klawiatura USB w układzie polski programisty </w:t>
            </w:r>
          </w:p>
          <w:p w:rsidR="00E76FEE" w:rsidRPr="00E3221D" w:rsidRDefault="00E76FEE" w:rsidP="00B11184">
            <w:pPr>
              <w:numPr>
                <w:ilvl w:val="0"/>
                <w:numId w:val="1"/>
              </w:numPr>
              <w:suppressAutoHyphens/>
              <w:spacing w:after="140" w:line="288" w:lineRule="auto"/>
              <w:jc w:val="both"/>
              <w:rPr>
                <w:rFonts w:ascii="Caladea" w:hAnsi="Caladea"/>
                <w:sz w:val="22"/>
              </w:rPr>
            </w:pPr>
            <w:r w:rsidRPr="00E3221D">
              <w:rPr>
                <w:rFonts w:ascii="Caladea" w:hAnsi="Caladea"/>
                <w:sz w:val="22"/>
              </w:rPr>
              <w:t>Mysz laserowa USB z sześcioma klawiszami oraz rolką (</w:t>
            </w:r>
            <w:proofErr w:type="spellStart"/>
            <w:r w:rsidRPr="00E3221D">
              <w:rPr>
                <w:rFonts w:ascii="Caladea" w:hAnsi="Caladea"/>
                <w:sz w:val="22"/>
              </w:rPr>
              <w:t>scroll</w:t>
            </w:r>
            <w:proofErr w:type="spellEnd"/>
            <w:r w:rsidRPr="00E3221D">
              <w:rPr>
                <w:rFonts w:ascii="Caladea" w:hAnsi="Caladea"/>
                <w:sz w:val="22"/>
              </w:rPr>
              <w:t>) min 1000dpi</w:t>
            </w:r>
          </w:p>
          <w:p w:rsidR="00E76FEE" w:rsidRPr="00E3221D" w:rsidRDefault="00E76FEE" w:rsidP="00B11184">
            <w:pPr>
              <w:numPr>
                <w:ilvl w:val="0"/>
                <w:numId w:val="1"/>
              </w:numPr>
              <w:suppressAutoHyphens/>
              <w:spacing w:after="140" w:line="288" w:lineRule="auto"/>
              <w:jc w:val="both"/>
              <w:rPr>
                <w:rFonts w:ascii="Caladea" w:hAnsi="Caladea"/>
                <w:sz w:val="22"/>
              </w:rPr>
            </w:pPr>
            <w:r w:rsidRPr="00E3221D">
              <w:rPr>
                <w:rFonts w:ascii="Caladea" w:hAnsi="Caladea" w:cs="Arial"/>
                <w:bCs/>
                <w:sz w:val="22"/>
              </w:rPr>
              <w:t>Możliwość podłączenia do monitora z wejściem DVI za pomocą posiadanego przez zamawiającego kabla DVI</w:t>
            </w:r>
          </w:p>
        </w:tc>
      </w:tr>
      <w:tr w:rsidR="00E76FEE" w:rsidTr="00E76FEE">
        <w:tc>
          <w:tcPr>
            <w:tcW w:w="710" w:type="dxa"/>
            <w:tcBorders>
              <w:top w:val="single" w:sz="4" w:space="0" w:color="00000A"/>
              <w:left w:val="single" w:sz="4" w:space="0" w:color="00000A"/>
              <w:bottom w:val="single" w:sz="4" w:space="0" w:color="00000A"/>
              <w:right w:val="single" w:sz="4" w:space="0" w:color="00000A"/>
            </w:tcBorders>
          </w:tcPr>
          <w:p w:rsidR="00E76FEE" w:rsidRPr="00E3221D" w:rsidRDefault="00E76FEE" w:rsidP="009D1D68">
            <w:pPr>
              <w:rPr>
                <w:rFonts w:ascii="Caladea" w:hAnsi="Caladea"/>
                <w:sz w:val="22"/>
              </w:rPr>
            </w:pPr>
            <w:r w:rsidRPr="00E3221D">
              <w:rPr>
                <w:rFonts w:ascii="Caladea" w:hAnsi="Caladea"/>
                <w:sz w:val="22"/>
              </w:rPr>
              <w:t>20</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rPr>
                <w:rFonts w:ascii="Caladea" w:hAnsi="Caladea"/>
                <w:sz w:val="22"/>
              </w:rPr>
            </w:pPr>
            <w:r w:rsidRPr="00E3221D">
              <w:rPr>
                <w:rFonts w:ascii="Caladea" w:hAnsi="Caladea"/>
                <w:sz w:val="22"/>
              </w:rPr>
              <w:t xml:space="preserve">Ilość sztuk </w:t>
            </w:r>
          </w:p>
        </w:tc>
        <w:tc>
          <w:tcPr>
            <w:tcW w:w="6335" w:type="dxa"/>
            <w:tcBorders>
              <w:top w:val="single" w:sz="4" w:space="0" w:color="00000A"/>
              <w:left w:val="single" w:sz="4" w:space="0" w:color="00000A"/>
              <w:bottom w:val="single" w:sz="4" w:space="0" w:color="00000A"/>
              <w:right w:val="single" w:sz="4" w:space="0" w:color="00000A"/>
            </w:tcBorders>
            <w:shd w:val="clear" w:color="auto" w:fill="auto"/>
          </w:tcPr>
          <w:p w:rsidR="00E76FEE" w:rsidRPr="00E3221D" w:rsidRDefault="00E76FEE" w:rsidP="009D1D68">
            <w:pPr>
              <w:suppressAutoHyphens/>
              <w:spacing w:after="140" w:line="288" w:lineRule="auto"/>
              <w:jc w:val="both"/>
              <w:rPr>
                <w:rFonts w:ascii="Caladea" w:hAnsi="Caladea"/>
                <w:sz w:val="22"/>
                <w:lang w:val="en-US"/>
              </w:rPr>
            </w:pPr>
            <w:r w:rsidRPr="00E3221D">
              <w:rPr>
                <w:rFonts w:ascii="Caladea" w:hAnsi="Caladea"/>
                <w:sz w:val="22"/>
                <w:lang w:val="en-US"/>
              </w:rPr>
              <w:t>5</w:t>
            </w:r>
          </w:p>
        </w:tc>
      </w:tr>
    </w:tbl>
    <w:p w:rsidR="00EB514D" w:rsidRDefault="00EB514D"/>
    <w:p w:rsidR="007A217D" w:rsidRDefault="007A217D"/>
    <w:p w:rsidR="007A217D" w:rsidRDefault="007A217D"/>
    <w:p w:rsidR="007A217D" w:rsidRDefault="007A217D"/>
    <w:p w:rsidR="00E76FEE" w:rsidRDefault="00E76FEE"/>
    <w:p w:rsidR="00E76FEE" w:rsidRDefault="00E76FEE"/>
    <w:p w:rsidR="00E76FEE" w:rsidRDefault="00E76FEE"/>
    <w:p w:rsidR="00E76FEE" w:rsidRDefault="00E76FEE"/>
    <w:p w:rsidR="007A217D" w:rsidRDefault="007A217D"/>
    <w:tbl>
      <w:tblPr>
        <w:tblW w:w="9290" w:type="dxa"/>
        <w:tblInd w:w="-289" w:type="dxa"/>
        <w:tblBorders>
          <w:top w:val="single" w:sz="4" w:space="0" w:color="000000"/>
          <w:left w:val="single" w:sz="4" w:space="0" w:color="000000"/>
          <w:bottom w:val="single" w:sz="4" w:space="0" w:color="000000"/>
          <w:insideH w:val="single" w:sz="4" w:space="0" w:color="000000"/>
        </w:tblBorders>
        <w:tblCellMar>
          <w:left w:w="75" w:type="dxa"/>
          <w:right w:w="70" w:type="dxa"/>
        </w:tblCellMar>
        <w:tblLook w:val="04A0" w:firstRow="1" w:lastRow="0" w:firstColumn="1" w:lastColumn="0" w:noHBand="0" w:noVBand="1"/>
      </w:tblPr>
      <w:tblGrid>
        <w:gridCol w:w="503"/>
        <w:gridCol w:w="2037"/>
        <w:gridCol w:w="6750"/>
      </w:tblGrid>
      <w:tr w:rsidR="007A217D" w:rsidRPr="007A217D" w:rsidTr="00E76FEE">
        <w:trPr>
          <w:trHeight w:val="884"/>
        </w:trPr>
        <w:tc>
          <w:tcPr>
            <w:tcW w:w="9290"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7A217D" w:rsidRPr="007A217D" w:rsidRDefault="007A217D" w:rsidP="007A217D">
            <w:pPr>
              <w:rPr>
                <w:rFonts w:ascii="Cantarell" w:eastAsia="Calibri" w:hAnsi="Cantarell" w:cs="Calibri"/>
                <w:sz w:val="20"/>
                <w:szCs w:val="20"/>
                <w:u w:color="000000"/>
              </w:rPr>
            </w:pPr>
            <w:r>
              <w:rPr>
                <w:rFonts w:cs="Segoe UI"/>
                <w:b/>
                <w:sz w:val="32"/>
                <w:szCs w:val="32"/>
              </w:rPr>
              <w:t>CZĘŚC I</w:t>
            </w:r>
            <w:r w:rsidR="00DB71C2">
              <w:rPr>
                <w:rFonts w:cs="Segoe UI"/>
                <w:b/>
                <w:sz w:val="32"/>
                <w:szCs w:val="32"/>
              </w:rPr>
              <w:t>I</w:t>
            </w:r>
            <w:bookmarkStart w:id="1" w:name="_GoBack"/>
            <w:bookmarkEnd w:id="1"/>
            <w:r>
              <w:rPr>
                <w:rFonts w:ascii="DejaVu Sans" w:hAnsi="DejaVu Sans"/>
                <w:sz w:val="20"/>
                <w:szCs w:val="20"/>
              </w:rPr>
              <w:t xml:space="preserve"> – </w:t>
            </w:r>
            <w:r>
              <w:rPr>
                <w:rFonts w:cs="Segoe UI"/>
                <w:b/>
                <w:sz w:val="32"/>
                <w:szCs w:val="32"/>
              </w:rPr>
              <w:t xml:space="preserve">serwer </w:t>
            </w:r>
          </w:p>
        </w:tc>
      </w:tr>
      <w:tr w:rsidR="007A217D" w:rsidRPr="00E3221D" w:rsidTr="00E76FEE">
        <w:trPr>
          <w:trHeight w:val="884"/>
        </w:trPr>
        <w:tc>
          <w:tcPr>
            <w:tcW w:w="503" w:type="dxa"/>
            <w:tcBorders>
              <w:top w:val="single" w:sz="4" w:space="0" w:color="000000"/>
              <w:left w:val="single" w:sz="4" w:space="0" w:color="000000"/>
              <w:bottom w:val="single" w:sz="4" w:space="0" w:color="000000"/>
            </w:tcBorders>
            <w:shd w:val="clear" w:color="auto" w:fill="auto"/>
            <w:vAlign w:val="center"/>
          </w:tcPr>
          <w:p w:rsidR="007A217D" w:rsidRPr="00E3221D" w:rsidRDefault="007A217D" w:rsidP="007A217D">
            <w:pPr>
              <w:jc w:val="center"/>
              <w:rPr>
                <w:sz w:val="22"/>
              </w:rPr>
            </w:pPr>
            <w:r w:rsidRPr="00E3221D">
              <w:rPr>
                <w:rFonts w:ascii="Cantarell" w:hAnsi="Cantarell"/>
                <w:sz w:val="22"/>
              </w:rPr>
              <w:t>1</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bCs/>
                <w:sz w:val="22"/>
                <w:u w:color="000000"/>
              </w:rPr>
              <w:t>Obudowa</w:t>
            </w: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rPr>
                <w:sz w:val="22"/>
              </w:rPr>
            </w:pPr>
            <w:r w:rsidRPr="00E3221D">
              <w:rPr>
                <w:rFonts w:ascii="Cantarell" w:eastAsia="Calibri" w:hAnsi="Cantarell" w:cs="Calibri"/>
                <w:sz w:val="22"/>
                <w:u w:color="000000"/>
              </w:rPr>
              <w:t xml:space="preserve">Obudowa </w:t>
            </w:r>
            <w:proofErr w:type="spellStart"/>
            <w:r w:rsidRPr="00E3221D">
              <w:rPr>
                <w:rFonts w:ascii="Cantarell" w:eastAsia="Calibri" w:hAnsi="Cantarell" w:cs="Calibri"/>
                <w:sz w:val="22"/>
                <w:u w:color="000000"/>
              </w:rPr>
              <w:t>Rack</w:t>
            </w:r>
            <w:proofErr w:type="spellEnd"/>
            <w:r w:rsidRPr="00E3221D">
              <w:rPr>
                <w:rFonts w:ascii="Cantarell" w:eastAsia="Calibri" w:hAnsi="Cantarell" w:cs="Calibri"/>
                <w:sz w:val="22"/>
                <w:u w:color="000000"/>
              </w:rPr>
              <w:t xml:space="preserve"> o wysokości max 4U z możliwością instalacji 2 dysków 2,5” oraz do 45 dysków 3,5” Hot-</w:t>
            </w:r>
            <w:proofErr w:type="spellStart"/>
            <w:r w:rsidRPr="00E3221D">
              <w:rPr>
                <w:rFonts w:ascii="Cantarell" w:eastAsia="Calibri" w:hAnsi="Cantarell" w:cs="Calibri"/>
                <w:sz w:val="22"/>
                <w:u w:color="000000"/>
              </w:rPr>
              <w:t>Swap</w:t>
            </w:r>
            <w:proofErr w:type="spellEnd"/>
            <w:r w:rsidRPr="00E3221D">
              <w:rPr>
                <w:rFonts w:ascii="Cantarell" w:eastAsia="Calibri" w:hAnsi="Cantarell" w:cs="Calibri"/>
                <w:sz w:val="22"/>
                <w:u w:color="000000"/>
              </w:rPr>
              <w:t xml:space="preserve"> SAS3/SATA3, opcjonalnie miejsce na 6 zatok do dysków ze złączem </w:t>
            </w:r>
            <w:proofErr w:type="spellStart"/>
            <w:r w:rsidRPr="00E3221D">
              <w:rPr>
                <w:rFonts w:ascii="Cantarell" w:eastAsia="Calibri" w:hAnsi="Cantarell" w:cs="Calibri"/>
                <w:sz w:val="22"/>
                <w:u w:color="000000"/>
              </w:rPr>
              <w:t>NVMe</w:t>
            </w:r>
            <w:proofErr w:type="spellEnd"/>
            <w:r w:rsidRPr="00E3221D">
              <w:rPr>
                <w:rFonts w:ascii="Cantarell" w:eastAsia="Calibri" w:hAnsi="Cantarell" w:cs="Calibri"/>
                <w:sz w:val="22"/>
                <w:u w:color="000000"/>
              </w:rPr>
              <w:t xml:space="preserve">, wraz z kompletem szyn umożliwiających montaż w szafie </w:t>
            </w:r>
            <w:proofErr w:type="spellStart"/>
            <w:r w:rsidRPr="00E3221D">
              <w:rPr>
                <w:rFonts w:ascii="Cantarell" w:eastAsia="Calibri" w:hAnsi="Cantarell" w:cs="Calibri"/>
                <w:sz w:val="22"/>
                <w:u w:color="000000"/>
              </w:rPr>
              <w:t>rack</w:t>
            </w:r>
            <w:proofErr w:type="spellEnd"/>
            <w:r w:rsidRPr="00E3221D">
              <w:rPr>
                <w:rFonts w:ascii="Cantarell" w:eastAsia="Calibri" w:hAnsi="Cantarell" w:cs="Calibri"/>
                <w:sz w:val="22"/>
                <w:u w:color="000000"/>
              </w:rPr>
              <w:t xml:space="preserve"> i wysuwanie serwera do celów serwisowych </w:t>
            </w:r>
          </w:p>
        </w:tc>
      </w:tr>
      <w:tr w:rsidR="007A217D" w:rsidRPr="00E3221D" w:rsidTr="00E76FEE">
        <w:tc>
          <w:tcPr>
            <w:tcW w:w="503" w:type="dxa"/>
            <w:tcBorders>
              <w:top w:val="single" w:sz="4" w:space="0" w:color="000000"/>
              <w:left w:val="single" w:sz="4" w:space="0" w:color="000000"/>
              <w:bottom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sz w:val="22"/>
              </w:rPr>
              <w:t>2</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bCs/>
                <w:color w:val="000000"/>
                <w:sz w:val="22"/>
                <w:u w:color="000000"/>
              </w:rPr>
              <w:t>Płyta główna</w:t>
            </w: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rPr>
                <w:sz w:val="22"/>
              </w:rPr>
            </w:pPr>
            <w:r w:rsidRPr="00E3221D">
              <w:rPr>
                <w:rFonts w:ascii="Cantarell" w:eastAsia="Calibri" w:hAnsi="Cantarell" w:cs="Calibri"/>
                <w:sz w:val="22"/>
                <w:u w:color="000000"/>
              </w:rPr>
              <w:t>Płyta główna z możliwością zainstalowania dwóch procesorów podstawka procesora LGA 3647</w:t>
            </w:r>
          </w:p>
        </w:tc>
      </w:tr>
      <w:tr w:rsidR="007A217D" w:rsidRPr="00E3221D" w:rsidTr="00E76FEE">
        <w:tc>
          <w:tcPr>
            <w:tcW w:w="503" w:type="dxa"/>
            <w:tcBorders>
              <w:top w:val="single" w:sz="4" w:space="0" w:color="000000"/>
              <w:left w:val="single" w:sz="4" w:space="0" w:color="000000"/>
              <w:bottom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sz w:val="22"/>
              </w:rPr>
              <w:t>3</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bCs/>
                <w:sz w:val="22"/>
                <w:u w:color="000000"/>
              </w:rPr>
              <w:t>Chipset</w:t>
            </w: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rPr>
                <w:sz w:val="22"/>
              </w:rPr>
            </w:pPr>
            <w:r w:rsidRPr="00E3221D">
              <w:rPr>
                <w:rFonts w:ascii="Cantarell" w:eastAsia="Calibri" w:hAnsi="Cantarell" w:cs="Calibri"/>
                <w:sz w:val="22"/>
                <w:u w:color="000000"/>
              </w:rPr>
              <w:t>Dedykowany przez producenta procesora do pracy w serwerach dwuprocesorowych</w:t>
            </w:r>
          </w:p>
        </w:tc>
      </w:tr>
      <w:tr w:rsidR="007A217D" w:rsidRPr="00E3221D" w:rsidTr="00E76FEE">
        <w:trPr>
          <w:trHeight w:val="1162"/>
        </w:trPr>
        <w:tc>
          <w:tcPr>
            <w:tcW w:w="503" w:type="dxa"/>
            <w:tcBorders>
              <w:top w:val="single" w:sz="4" w:space="0" w:color="000000"/>
              <w:left w:val="single" w:sz="4" w:space="0" w:color="000000"/>
              <w:bottom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sz w:val="22"/>
              </w:rPr>
              <w:t>4</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eastAsia="Calibri" w:hAnsi="Cantarell" w:cs="Calibri"/>
                <w:bCs/>
                <w:sz w:val="22"/>
                <w:u w:color="00B050"/>
              </w:rPr>
              <w:t>Procesor</w:t>
            </w: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rPr>
                <w:sz w:val="22"/>
              </w:rPr>
            </w:pPr>
            <w:r w:rsidRPr="00E3221D">
              <w:rPr>
                <w:rFonts w:ascii="Cantarell" w:hAnsi="Cantarell"/>
                <w:sz w:val="22"/>
                <w:u w:color="00B050"/>
              </w:rPr>
              <w:t xml:space="preserve">Dwa procesory ośmiordzeniowe (szesnastowątkowe) klasy x86_x64 dedykowane do pracy z zaoferowanym serwerem. Każdy procesor o taktowaniu min. 2.5GHz, musi osiągać w teście </w:t>
            </w:r>
            <w:proofErr w:type="spellStart"/>
            <w:r w:rsidRPr="00E3221D">
              <w:rPr>
                <w:rFonts w:ascii="Cantarell" w:hAnsi="Cantarell"/>
                <w:sz w:val="22"/>
                <w:u w:color="00B050"/>
              </w:rPr>
              <w:t>PassMark</w:t>
            </w:r>
            <w:proofErr w:type="spellEnd"/>
            <w:r w:rsidRPr="00E3221D">
              <w:rPr>
                <w:rFonts w:ascii="Cantarell" w:hAnsi="Cantarell"/>
                <w:sz w:val="22"/>
                <w:u w:color="00B050"/>
              </w:rPr>
              <w:t xml:space="preserve"> (http://cpubenchmark.net/) wynik co najmniej 15240 punktów i posiadać 11 MB cache</w:t>
            </w:r>
          </w:p>
        </w:tc>
      </w:tr>
      <w:tr w:rsidR="007A217D" w:rsidRPr="00E3221D" w:rsidTr="00E76FEE">
        <w:tc>
          <w:tcPr>
            <w:tcW w:w="503" w:type="dxa"/>
            <w:tcBorders>
              <w:top w:val="single" w:sz="4" w:space="0" w:color="000000"/>
              <w:left w:val="single" w:sz="4" w:space="0" w:color="000000"/>
              <w:bottom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sz w:val="22"/>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bCs/>
                <w:sz w:val="22"/>
                <w:u w:color="000000"/>
              </w:rPr>
              <w:t>Pamięć RAM</w:t>
            </w: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rPr>
                <w:sz w:val="22"/>
              </w:rPr>
            </w:pPr>
            <w:r w:rsidRPr="00E3221D">
              <w:rPr>
                <w:rFonts w:ascii="Cantarell" w:eastAsia="Calibri" w:hAnsi="Cantarell" w:cs="Calibri"/>
                <w:sz w:val="22"/>
                <w:u w:color="000000"/>
              </w:rPr>
              <w:t xml:space="preserve">Min. 192GB RAM DDR4 2666MHz Reg. ECC, możliwość zainstalowania 24 pamięci RDIMM/LRDIMM (po 12 na </w:t>
            </w:r>
            <w:proofErr w:type="spellStart"/>
            <w:r w:rsidRPr="00E3221D">
              <w:rPr>
                <w:rFonts w:ascii="Cantarell" w:eastAsia="Calibri" w:hAnsi="Cantarell" w:cs="Calibri"/>
                <w:sz w:val="22"/>
                <w:u w:color="000000"/>
              </w:rPr>
              <w:t>processor</w:t>
            </w:r>
            <w:proofErr w:type="spellEnd"/>
            <w:r w:rsidRPr="00E3221D">
              <w:rPr>
                <w:rFonts w:ascii="Cantarell" w:eastAsia="Calibri" w:hAnsi="Cantarell" w:cs="Calibri"/>
                <w:sz w:val="22"/>
                <w:u w:color="000000"/>
              </w:rPr>
              <w:t xml:space="preserve">), min. 12 slotów wolnych. Obsługa min 6TB 3DS ECC DDR4-2933MHz RDIMM/LRDIMM. Wsparcie dla obsługi Intel </w:t>
            </w:r>
            <w:proofErr w:type="spellStart"/>
            <w:r w:rsidRPr="00E3221D">
              <w:rPr>
                <w:rFonts w:ascii="Cantarell" w:eastAsia="Calibri" w:hAnsi="Cantarell" w:cs="Calibri"/>
                <w:sz w:val="22"/>
                <w:u w:color="000000"/>
              </w:rPr>
              <w:t>Optane</w:t>
            </w:r>
            <w:proofErr w:type="spellEnd"/>
            <w:r w:rsidRPr="00E3221D">
              <w:rPr>
                <w:rFonts w:ascii="Cantarell" w:eastAsia="Calibri" w:hAnsi="Cantarell" w:cs="Calibri"/>
                <w:sz w:val="22"/>
                <w:u w:color="000000"/>
              </w:rPr>
              <w:t xml:space="preserve"> DCPMM</w:t>
            </w:r>
          </w:p>
        </w:tc>
      </w:tr>
      <w:tr w:rsidR="007A217D" w:rsidRPr="00E3221D" w:rsidTr="00E76FEE">
        <w:tc>
          <w:tcPr>
            <w:tcW w:w="503" w:type="dxa"/>
            <w:tcBorders>
              <w:top w:val="single" w:sz="4" w:space="0" w:color="000000"/>
              <w:left w:val="single" w:sz="4" w:space="0" w:color="000000"/>
              <w:bottom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sz w:val="22"/>
              </w:rPr>
              <w:t>6</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bCs/>
                <w:color w:val="000000"/>
                <w:sz w:val="22"/>
                <w:u w:color="000000"/>
              </w:rPr>
              <w:t>Gniazda PCI</w:t>
            </w: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rPr>
                <w:sz w:val="22"/>
              </w:rPr>
            </w:pPr>
            <w:r w:rsidRPr="00E3221D">
              <w:rPr>
                <w:rFonts w:ascii="Cantarell" w:eastAsia="Calibri" w:hAnsi="Cantarell" w:cs="Calibri"/>
                <w:sz w:val="22"/>
                <w:u w:color="000000"/>
              </w:rPr>
              <w:t xml:space="preserve">Min. 2 </w:t>
            </w:r>
            <w:proofErr w:type="spellStart"/>
            <w:r w:rsidRPr="00E3221D">
              <w:rPr>
                <w:rFonts w:ascii="Cantarell" w:eastAsia="Calibri" w:hAnsi="Cantarell" w:cs="Calibri"/>
                <w:sz w:val="22"/>
                <w:u w:color="000000"/>
              </w:rPr>
              <w:t>sloty</w:t>
            </w:r>
            <w:proofErr w:type="spellEnd"/>
            <w:r w:rsidRPr="00E3221D">
              <w:rPr>
                <w:rFonts w:ascii="Cantarell" w:eastAsia="Calibri" w:hAnsi="Cantarell" w:cs="Calibri"/>
                <w:sz w:val="22"/>
                <w:u w:color="000000"/>
              </w:rPr>
              <w:t xml:space="preserve"> generacji 3 PCI-E x16, min. 1 slot generacji 3 PCI-E x8, wsparcie dla jednej karty SIOM (musi być w pakiecie z kartą sieciową)</w:t>
            </w:r>
          </w:p>
        </w:tc>
      </w:tr>
      <w:tr w:rsidR="007A217D" w:rsidRPr="00E3221D" w:rsidTr="00E76FEE">
        <w:tc>
          <w:tcPr>
            <w:tcW w:w="503" w:type="dxa"/>
            <w:tcBorders>
              <w:top w:val="single" w:sz="4" w:space="0" w:color="000000"/>
              <w:left w:val="single" w:sz="4" w:space="0" w:color="000000"/>
              <w:bottom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sz w:val="22"/>
              </w:rPr>
              <w:t>7</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bCs/>
                <w:sz w:val="22"/>
                <w:u w:color="000000"/>
              </w:rPr>
              <w:t>Interfejsy sieciowe</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7A217D" w:rsidRPr="00E3221D" w:rsidRDefault="007A217D" w:rsidP="007A217D">
            <w:pPr>
              <w:rPr>
                <w:sz w:val="22"/>
              </w:rPr>
            </w:pPr>
            <w:r w:rsidRPr="00E3221D">
              <w:rPr>
                <w:rFonts w:ascii="Cantarell" w:eastAsia="Calibri" w:hAnsi="Cantarell" w:cs="Calibri"/>
                <w:sz w:val="22"/>
                <w:u w:color="000000"/>
              </w:rPr>
              <w:t>Dwa interfejsy sieciowe 10Gb Ethernet ze złączami w standardzie SFP+,</w:t>
            </w:r>
          </w:p>
          <w:p w:rsidR="007A217D" w:rsidRPr="00E3221D" w:rsidRDefault="007A217D" w:rsidP="007A217D">
            <w:pPr>
              <w:rPr>
                <w:rFonts w:ascii="Cantarell" w:eastAsia="Calibri" w:hAnsi="Cantarell" w:cs="Calibri"/>
                <w:sz w:val="22"/>
                <w:u w:color="000000"/>
              </w:rPr>
            </w:pPr>
            <w:r w:rsidRPr="00E3221D">
              <w:rPr>
                <w:rFonts w:ascii="Cantarell" w:eastAsia="Calibri" w:hAnsi="Cantarell" w:cs="Calibri"/>
                <w:sz w:val="22"/>
                <w:u w:color="000000"/>
              </w:rPr>
              <w:t>Dedykowane złącze RJ-45 IPMI</w:t>
            </w:r>
          </w:p>
        </w:tc>
      </w:tr>
      <w:tr w:rsidR="007A217D" w:rsidRPr="00E3221D" w:rsidTr="00E76FEE">
        <w:tc>
          <w:tcPr>
            <w:tcW w:w="503" w:type="dxa"/>
            <w:tcBorders>
              <w:top w:val="single" w:sz="4" w:space="0" w:color="000000"/>
              <w:left w:val="single" w:sz="4" w:space="0" w:color="000000"/>
              <w:bottom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sz w:val="22"/>
              </w:rPr>
              <w:t>8</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eastAsia="Calibri" w:hAnsi="Cantarell" w:cs="Calibri"/>
                <w:bCs/>
                <w:sz w:val="22"/>
                <w:u w:color="00B050"/>
              </w:rPr>
              <w:t>Dyski twarde</w:t>
            </w: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rPr>
                <w:sz w:val="22"/>
              </w:rPr>
            </w:pPr>
            <w:r w:rsidRPr="00E3221D">
              <w:rPr>
                <w:rFonts w:ascii="Cantarell" w:eastAsia="Calibri" w:hAnsi="Cantarell" w:cs="Calibri"/>
                <w:sz w:val="22"/>
                <w:u w:color="000000"/>
              </w:rPr>
              <w:t xml:space="preserve">Możliwość instalacji dysków SATA, SAS, SSD, </w:t>
            </w:r>
            <w:proofErr w:type="spellStart"/>
            <w:r w:rsidRPr="00E3221D">
              <w:rPr>
                <w:rFonts w:ascii="Cantarell" w:eastAsia="Calibri" w:hAnsi="Cantarell" w:cs="Calibri"/>
                <w:sz w:val="22"/>
                <w:u w:color="000000"/>
              </w:rPr>
              <w:t>NVMe</w:t>
            </w:r>
            <w:proofErr w:type="spellEnd"/>
          </w:p>
          <w:p w:rsidR="007A217D" w:rsidRPr="00E3221D" w:rsidRDefault="007A217D" w:rsidP="007A217D">
            <w:pPr>
              <w:rPr>
                <w:sz w:val="22"/>
              </w:rPr>
            </w:pPr>
            <w:r w:rsidRPr="00E3221D">
              <w:rPr>
                <w:rFonts w:ascii="Cantarell" w:eastAsia="Calibri" w:hAnsi="Cantarell" w:cs="Calibri"/>
                <w:sz w:val="22"/>
                <w:u w:color="000000"/>
              </w:rPr>
              <w:t>Zainstalowane dyski:</w:t>
            </w:r>
          </w:p>
          <w:p w:rsidR="007A217D" w:rsidRPr="00E3221D" w:rsidRDefault="007A217D" w:rsidP="007A217D">
            <w:pPr>
              <w:rPr>
                <w:sz w:val="22"/>
              </w:rPr>
            </w:pPr>
            <w:r w:rsidRPr="00E3221D">
              <w:rPr>
                <w:rFonts w:ascii="Cantarell" w:eastAsia="Calibri" w:hAnsi="Cantarell" w:cs="Calibri"/>
                <w:sz w:val="22"/>
                <w:u w:color="000000"/>
              </w:rPr>
              <w:t>- 2 dyski SSD min. 256GB każdy</w:t>
            </w:r>
          </w:p>
          <w:p w:rsidR="007A217D" w:rsidRPr="00E3221D" w:rsidRDefault="007A217D" w:rsidP="007A217D">
            <w:pPr>
              <w:rPr>
                <w:sz w:val="22"/>
              </w:rPr>
            </w:pPr>
            <w:r w:rsidRPr="00E3221D">
              <w:rPr>
                <w:rFonts w:ascii="Cantarell" w:hAnsi="Cantarell"/>
                <w:sz w:val="22"/>
                <w:u w:color="00B050"/>
              </w:rPr>
              <w:t xml:space="preserve">- 45dysków 3,5“ Hot-Plug o pojemności </w:t>
            </w:r>
            <w:r w:rsidRPr="00E3221D">
              <w:rPr>
                <w:rFonts w:ascii="Cantarell" w:hAnsi="Cantarell"/>
                <w:sz w:val="22"/>
                <w:u w:val="double"/>
              </w:rPr>
              <w:t>12TB każdy</w:t>
            </w:r>
            <w:r w:rsidRPr="00E3221D">
              <w:rPr>
                <w:rFonts w:ascii="Cantarell" w:hAnsi="Cantarell"/>
                <w:sz w:val="22"/>
                <w:u w:color="00B050"/>
              </w:rPr>
              <w:t>, prędkości 7.2K RPM, SAS 12Gb/s, 256MB pamięci cache, wielkość sektora 512E</w:t>
            </w:r>
          </w:p>
        </w:tc>
      </w:tr>
      <w:tr w:rsidR="007A217D" w:rsidRPr="00E3221D" w:rsidTr="00E76FEE">
        <w:tc>
          <w:tcPr>
            <w:tcW w:w="503" w:type="dxa"/>
            <w:tcBorders>
              <w:top w:val="single" w:sz="4" w:space="0" w:color="000000"/>
              <w:left w:val="single" w:sz="4" w:space="0" w:color="000000"/>
              <w:bottom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sz w:val="22"/>
              </w:rPr>
              <w:t>9</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eastAsia="Calibri" w:hAnsi="Cantarell" w:cs="Calibri"/>
                <w:bCs/>
                <w:sz w:val="22"/>
                <w:u w:color="00B050"/>
              </w:rPr>
              <w:t>Kontroler RAID</w:t>
            </w: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rPr>
                <w:sz w:val="22"/>
              </w:rPr>
            </w:pPr>
            <w:r w:rsidRPr="00E3221D">
              <w:rPr>
                <w:rFonts w:ascii="Cantarell" w:eastAsia="Calibri" w:hAnsi="Cantarell" w:cs="Calibri"/>
                <w:sz w:val="22"/>
                <w:u w:color="00B050"/>
              </w:rPr>
              <w:t xml:space="preserve">Sprzętowy kontroler dyskowy z min. 2GB pamięci cache, wspomagany baterią </w:t>
            </w:r>
            <w:proofErr w:type="spellStart"/>
            <w:r w:rsidRPr="00E3221D">
              <w:rPr>
                <w:rFonts w:ascii="Cantarell" w:eastAsia="Calibri" w:hAnsi="Cantarell" w:cs="Calibri"/>
                <w:sz w:val="22"/>
                <w:u w:color="00B050"/>
              </w:rPr>
              <w:t>CacheVault</w:t>
            </w:r>
            <w:proofErr w:type="spellEnd"/>
            <w:r w:rsidRPr="00E3221D">
              <w:rPr>
                <w:rFonts w:ascii="Cantarell" w:eastAsia="Calibri" w:hAnsi="Cantarell" w:cs="Calibri"/>
                <w:sz w:val="22"/>
                <w:u w:color="00B050"/>
              </w:rPr>
              <w:t xml:space="preserve">, możliwe konfiguracje poziomów RAID: 0, 1, 5, 6, 10, </w:t>
            </w:r>
            <w:r w:rsidRPr="00E3221D">
              <w:rPr>
                <w:rFonts w:ascii="Cantarell" w:eastAsia="Calibri" w:hAnsi="Cantarell" w:cs="Calibri"/>
                <w:sz w:val="22"/>
                <w:u w:color="00B050"/>
              </w:rPr>
              <w:lastRenderedPageBreak/>
              <w:t>50, 60.</w:t>
            </w:r>
          </w:p>
        </w:tc>
      </w:tr>
      <w:tr w:rsidR="007A217D" w:rsidRPr="00DB71C2" w:rsidTr="00E76FEE">
        <w:tc>
          <w:tcPr>
            <w:tcW w:w="503" w:type="dxa"/>
            <w:tcBorders>
              <w:top w:val="single" w:sz="4" w:space="0" w:color="000000"/>
              <w:left w:val="single" w:sz="4" w:space="0" w:color="000000"/>
              <w:bottom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sz w:val="22"/>
              </w:rPr>
              <w:lastRenderedPageBreak/>
              <w:t>10</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bCs/>
                <w:color w:val="000000"/>
                <w:sz w:val="22"/>
                <w:u w:color="000000"/>
              </w:rPr>
              <w:t>Wbudowane porty</w:t>
            </w: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rPr>
                <w:sz w:val="22"/>
                <w:lang w:val="en-US"/>
              </w:rPr>
            </w:pPr>
            <w:r w:rsidRPr="00E3221D">
              <w:rPr>
                <w:rFonts w:ascii="Cantarell" w:eastAsia="Calibri" w:hAnsi="Cantarell" w:cs="Calibri"/>
                <w:sz w:val="22"/>
                <w:u w:color="000000"/>
                <w:lang w:val="en-US"/>
              </w:rPr>
              <w:t>Min.:</w:t>
            </w:r>
          </w:p>
          <w:p w:rsidR="007A217D" w:rsidRPr="00E3221D" w:rsidRDefault="007A217D" w:rsidP="007A217D">
            <w:pPr>
              <w:rPr>
                <w:sz w:val="22"/>
                <w:lang w:val="en-US"/>
              </w:rPr>
            </w:pPr>
            <w:r w:rsidRPr="00E3221D">
              <w:rPr>
                <w:rFonts w:ascii="Cantarell" w:eastAsia="Calibri" w:hAnsi="Cantarell" w:cs="Calibri"/>
                <w:sz w:val="22"/>
                <w:u w:color="000000"/>
                <w:lang w:val="en-US"/>
              </w:rPr>
              <w:t xml:space="preserve">- 4 </w:t>
            </w:r>
            <w:proofErr w:type="spellStart"/>
            <w:r w:rsidRPr="00E3221D">
              <w:rPr>
                <w:rFonts w:ascii="Cantarell" w:eastAsia="Calibri" w:hAnsi="Cantarell" w:cs="Calibri"/>
                <w:sz w:val="22"/>
                <w:u w:color="000000"/>
                <w:lang w:val="en-US"/>
              </w:rPr>
              <w:t>porty</w:t>
            </w:r>
            <w:proofErr w:type="spellEnd"/>
            <w:r w:rsidRPr="00E3221D">
              <w:rPr>
                <w:rFonts w:ascii="Cantarell" w:eastAsia="Calibri" w:hAnsi="Cantarell" w:cs="Calibri"/>
                <w:sz w:val="22"/>
                <w:u w:color="000000"/>
                <w:lang w:val="en-US"/>
              </w:rPr>
              <w:t xml:space="preserve"> SATA3 (6Gbps)</w:t>
            </w:r>
          </w:p>
          <w:p w:rsidR="007A217D" w:rsidRPr="00E3221D" w:rsidRDefault="007A217D" w:rsidP="007A217D">
            <w:pPr>
              <w:rPr>
                <w:sz w:val="22"/>
                <w:lang w:val="en-US"/>
              </w:rPr>
            </w:pPr>
            <w:r w:rsidRPr="00E3221D">
              <w:rPr>
                <w:rFonts w:ascii="Cantarell" w:eastAsia="Calibri" w:hAnsi="Cantarell" w:cs="Calibri"/>
                <w:sz w:val="22"/>
                <w:u w:color="000000"/>
                <w:lang w:val="en-US"/>
              </w:rPr>
              <w:t>- 1 port RJ45 Dedicated IPMI LAN</w:t>
            </w:r>
          </w:p>
          <w:p w:rsidR="007A217D" w:rsidRPr="00E3221D" w:rsidRDefault="007A217D" w:rsidP="007A217D">
            <w:pPr>
              <w:rPr>
                <w:sz w:val="22"/>
                <w:lang w:val="en-US"/>
              </w:rPr>
            </w:pPr>
            <w:r w:rsidRPr="00E3221D">
              <w:rPr>
                <w:rFonts w:ascii="Cantarell" w:eastAsia="Calibri" w:hAnsi="Cantarell" w:cs="Calibri"/>
                <w:sz w:val="22"/>
                <w:u w:color="000000"/>
                <w:lang w:val="en-US"/>
              </w:rPr>
              <w:t xml:space="preserve">- 2 </w:t>
            </w:r>
            <w:proofErr w:type="spellStart"/>
            <w:r w:rsidRPr="00E3221D">
              <w:rPr>
                <w:rFonts w:ascii="Cantarell" w:eastAsia="Calibri" w:hAnsi="Cantarell" w:cs="Calibri"/>
                <w:sz w:val="22"/>
                <w:u w:color="000000"/>
                <w:lang w:val="en-US"/>
              </w:rPr>
              <w:t>porty</w:t>
            </w:r>
            <w:proofErr w:type="spellEnd"/>
            <w:r w:rsidRPr="00E3221D">
              <w:rPr>
                <w:rFonts w:ascii="Cantarell" w:eastAsia="Calibri" w:hAnsi="Cantarell" w:cs="Calibri"/>
                <w:sz w:val="22"/>
                <w:u w:color="000000"/>
                <w:lang w:val="en-US"/>
              </w:rPr>
              <w:t xml:space="preserve"> USB 3.0 ports (rear)</w:t>
            </w:r>
          </w:p>
          <w:p w:rsidR="007A217D" w:rsidRPr="00E3221D" w:rsidRDefault="007A217D" w:rsidP="007A217D">
            <w:pPr>
              <w:rPr>
                <w:sz w:val="22"/>
                <w:lang w:val="en-US"/>
              </w:rPr>
            </w:pPr>
            <w:r w:rsidRPr="00E3221D">
              <w:rPr>
                <w:rFonts w:ascii="Cantarell" w:eastAsia="Calibri" w:hAnsi="Cantarell" w:cs="Calibri"/>
                <w:sz w:val="22"/>
                <w:u w:color="000000"/>
                <w:lang w:val="en-US"/>
              </w:rPr>
              <w:t>- 1 port USB 3.0 port Type A</w:t>
            </w:r>
          </w:p>
          <w:p w:rsidR="007A217D" w:rsidRPr="00E3221D" w:rsidRDefault="007A217D" w:rsidP="007A217D">
            <w:pPr>
              <w:rPr>
                <w:sz w:val="22"/>
                <w:lang w:val="en-US"/>
              </w:rPr>
            </w:pPr>
            <w:r w:rsidRPr="00E3221D">
              <w:rPr>
                <w:rFonts w:ascii="Cantarell" w:eastAsia="Calibri" w:hAnsi="Cantarell" w:cs="Calibri"/>
                <w:sz w:val="22"/>
                <w:u w:color="000000"/>
                <w:lang w:val="en-US"/>
              </w:rPr>
              <w:t>- 1 port VGA D-Sub connector port</w:t>
            </w:r>
          </w:p>
          <w:p w:rsidR="007A217D" w:rsidRPr="00E3221D" w:rsidRDefault="007A217D" w:rsidP="007A217D">
            <w:pPr>
              <w:rPr>
                <w:sz w:val="22"/>
                <w:lang w:val="en-US"/>
              </w:rPr>
            </w:pPr>
            <w:r w:rsidRPr="00E3221D">
              <w:rPr>
                <w:rFonts w:ascii="Cantarell" w:eastAsia="Calibri" w:hAnsi="Cantarell" w:cs="Calibri"/>
                <w:sz w:val="22"/>
                <w:u w:color="000000"/>
                <w:lang w:val="en-US"/>
              </w:rPr>
              <w:t>- 1 port Fast UART 16550 port / 1 Header</w:t>
            </w:r>
          </w:p>
        </w:tc>
      </w:tr>
      <w:tr w:rsidR="007A217D" w:rsidRPr="00E3221D" w:rsidTr="00E76FEE">
        <w:tc>
          <w:tcPr>
            <w:tcW w:w="503" w:type="dxa"/>
            <w:tcBorders>
              <w:left w:val="single" w:sz="4" w:space="0" w:color="000000"/>
              <w:bottom w:val="single" w:sz="4" w:space="0" w:color="000000"/>
            </w:tcBorders>
            <w:shd w:val="clear" w:color="auto" w:fill="auto"/>
            <w:vAlign w:val="center"/>
          </w:tcPr>
          <w:p w:rsidR="007A217D" w:rsidRPr="00E3221D" w:rsidRDefault="007A217D" w:rsidP="007A217D">
            <w:pPr>
              <w:jc w:val="center"/>
              <w:rPr>
                <w:rFonts w:ascii="Cantarell" w:eastAsia="Calibri" w:hAnsi="Cantarell"/>
                <w:bCs/>
                <w:color w:val="000000"/>
                <w:sz w:val="22"/>
                <w:u w:color="000000"/>
              </w:rPr>
            </w:pPr>
            <w:r w:rsidRPr="00E3221D">
              <w:rPr>
                <w:rFonts w:ascii="Cantarell" w:eastAsia="Calibri" w:hAnsi="Cantarell"/>
                <w:bCs/>
                <w:color w:val="000000"/>
                <w:sz w:val="22"/>
                <w:u w:color="000000"/>
              </w:rPr>
              <w:t>11</w:t>
            </w:r>
          </w:p>
        </w:tc>
        <w:tc>
          <w:tcPr>
            <w:tcW w:w="2037" w:type="dxa"/>
            <w:tcBorders>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eastAsia="Calibri" w:hAnsi="Cantarell"/>
                <w:bCs/>
                <w:color w:val="000000"/>
                <w:sz w:val="22"/>
                <w:u w:color="000000"/>
              </w:rPr>
            </w:pPr>
            <w:r w:rsidRPr="00E3221D">
              <w:rPr>
                <w:rFonts w:ascii="Cantarell" w:eastAsia="Calibri" w:hAnsi="Cantarell"/>
                <w:bCs/>
                <w:color w:val="000000"/>
                <w:sz w:val="22"/>
                <w:u w:color="000000"/>
              </w:rPr>
              <w:t>Zarządzanie</w:t>
            </w:r>
          </w:p>
        </w:tc>
        <w:tc>
          <w:tcPr>
            <w:tcW w:w="6750" w:type="dxa"/>
            <w:tcBorders>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rPr>
                <w:sz w:val="22"/>
              </w:rPr>
            </w:pPr>
            <w:r w:rsidRPr="00E3221D">
              <w:rPr>
                <w:sz w:val="22"/>
              </w:rPr>
              <w:t>- zdalne monitorowanie i informowanie o statusie serwera (m.in. prędkości obrotowej wentylatorów, konfiguracji serwera)</w:t>
            </w:r>
          </w:p>
          <w:p w:rsidR="007A217D" w:rsidRPr="00E3221D" w:rsidRDefault="007A217D" w:rsidP="007A217D">
            <w:pPr>
              <w:rPr>
                <w:sz w:val="22"/>
              </w:rPr>
            </w:pPr>
            <w:r w:rsidRPr="00E3221D">
              <w:rPr>
                <w:sz w:val="22"/>
              </w:rPr>
              <w:t>- wsparcie dla IPv6</w:t>
            </w:r>
          </w:p>
          <w:p w:rsidR="007A217D" w:rsidRPr="00E3221D" w:rsidRDefault="007A217D" w:rsidP="007A217D">
            <w:pPr>
              <w:rPr>
                <w:sz w:val="22"/>
              </w:rPr>
            </w:pPr>
            <w:r w:rsidRPr="00E3221D">
              <w:rPr>
                <w:sz w:val="22"/>
              </w:rPr>
              <w:t xml:space="preserve">- Zdalne zarządzanie: IPMI 2.0 / KVM </w:t>
            </w:r>
            <w:proofErr w:type="spellStart"/>
            <w:r w:rsidRPr="00E3221D">
              <w:rPr>
                <w:sz w:val="22"/>
              </w:rPr>
              <w:t>over</w:t>
            </w:r>
            <w:proofErr w:type="spellEnd"/>
            <w:r w:rsidRPr="00E3221D">
              <w:rPr>
                <w:sz w:val="22"/>
              </w:rPr>
              <w:t xml:space="preserve"> LAN / Media </w:t>
            </w:r>
            <w:proofErr w:type="spellStart"/>
            <w:r w:rsidRPr="00E3221D">
              <w:rPr>
                <w:sz w:val="22"/>
              </w:rPr>
              <w:t>over</w:t>
            </w:r>
            <w:proofErr w:type="spellEnd"/>
            <w:r w:rsidRPr="00E3221D">
              <w:rPr>
                <w:sz w:val="22"/>
              </w:rPr>
              <w:t xml:space="preserve"> LAN</w:t>
            </w:r>
          </w:p>
        </w:tc>
      </w:tr>
      <w:tr w:rsidR="007A217D" w:rsidRPr="00E3221D" w:rsidTr="00E76FEE">
        <w:tc>
          <w:tcPr>
            <w:tcW w:w="503" w:type="dxa"/>
            <w:tcBorders>
              <w:top w:val="single" w:sz="4" w:space="0" w:color="000000"/>
              <w:left w:val="single" w:sz="4" w:space="0" w:color="000000"/>
              <w:bottom w:val="single" w:sz="4" w:space="0" w:color="000000"/>
            </w:tcBorders>
            <w:shd w:val="clear" w:color="auto" w:fill="auto"/>
            <w:vAlign w:val="center"/>
          </w:tcPr>
          <w:p w:rsidR="007A217D" w:rsidRPr="00E3221D" w:rsidRDefault="007A217D" w:rsidP="007A217D">
            <w:pPr>
              <w:jc w:val="center"/>
              <w:rPr>
                <w:sz w:val="22"/>
              </w:rPr>
            </w:pPr>
            <w:r w:rsidRPr="00E3221D">
              <w:rPr>
                <w:rFonts w:ascii="Cantarell" w:hAnsi="Cantarell"/>
                <w:sz w:val="22"/>
              </w:rPr>
              <w:t>12</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bCs/>
                <w:sz w:val="22"/>
                <w:u w:color="00B050"/>
              </w:rPr>
              <w:t>Video</w:t>
            </w: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rPr>
                <w:sz w:val="22"/>
              </w:rPr>
            </w:pPr>
            <w:r w:rsidRPr="00E3221D">
              <w:rPr>
                <w:rFonts w:ascii="Cantarell" w:hAnsi="Cantarell"/>
                <w:sz w:val="22"/>
                <w:u w:color="00B050"/>
              </w:rPr>
              <w:t>Zintegrowana grafika z wyjściem VGA</w:t>
            </w:r>
          </w:p>
        </w:tc>
      </w:tr>
      <w:tr w:rsidR="007A217D" w:rsidRPr="00E3221D" w:rsidTr="00E76FEE">
        <w:tc>
          <w:tcPr>
            <w:tcW w:w="503" w:type="dxa"/>
            <w:tcBorders>
              <w:top w:val="single" w:sz="4" w:space="0" w:color="000000"/>
              <w:left w:val="single" w:sz="4" w:space="0" w:color="000000"/>
              <w:bottom w:val="single" w:sz="4" w:space="0" w:color="000000"/>
            </w:tcBorders>
            <w:shd w:val="clear" w:color="auto" w:fill="auto"/>
            <w:vAlign w:val="center"/>
          </w:tcPr>
          <w:p w:rsidR="007A217D" w:rsidRPr="00E3221D" w:rsidRDefault="007A217D" w:rsidP="007A217D">
            <w:pPr>
              <w:jc w:val="center"/>
              <w:rPr>
                <w:sz w:val="22"/>
              </w:rPr>
            </w:pPr>
            <w:r w:rsidRPr="00E3221D">
              <w:rPr>
                <w:rFonts w:ascii="Cantarell" w:hAnsi="Cantarell"/>
                <w:sz w:val="22"/>
              </w:rPr>
              <w:t>13</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bCs/>
                <w:color w:val="000000"/>
                <w:sz w:val="22"/>
                <w:u w:color="000000"/>
              </w:rPr>
              <w:t>Wentylatory</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rsidR="007A217D" w:rsidRPr="00E3221D" w:rsidRDefault="007A217D" w:rsidP="007A217D">
            <w:pPr>
              <w:rPr>
                <w:sz w:val="22"/>
              </w:rPr>
            </w:pPr>
            <w:r w:rsidRPr="00E3221D">
              <w:rPr>
                <w:rFonts w:ascii="Cantarell" w:eastAsia="Calibri" w:hAnsi="Cantarell" w:cs="Calibri"/>
                <w:sz w:val="22"/>
                <w:u w:color="000000"/>
              </w:rPr>
              <w:t>5 wentylatorów PWM Hot-</w:t>
            </w:r>
            <w:proofErr w:type="spellStart"/>
            <w:r w:rsidRPr="00E3221D">
              <w:rPr>
                <w:rFonts w:ascii="Cantarell" w:eastAsia="Calibri" w:hAnsi="Cantarell" w:cs="Calibri"/>
                <w:sz w:val="22"/>
                <w:u w:color="000000"/>
              </w:rPr>
              <w:t>Swap</w:t>
            </w:r>
            <w:proofErr w:type="spellEnd"/>
            <w:r w:rsidRPr="00E3221D">
              <w:rPr>
                <w:rFonts w:ascii="Cantarell" w:eastAsia="Calibri" w:hAnsi="Cantarell" w:cs="Calibri"/>
                <w:sz w:val="22"/>
                <w:u w:color="000000"/>
              </w:rPr>
              <w:t xml:space="preserve"> 8 cm każdy</w:t>
            </w:r>
          </w:p>
        </w:tc>
      </w:tr>
      <w:tr w:rsidR="007A217D" w:rsidRPr="00E3221D" w:rsidTr="00E76FEE">
        <w:tc>
          <w:tcPr>
            <w:tcW w:w="503" w:type="dxa"/>
            <w:tcBorders>
              <w:top w:val="single" w:sz="4" w:space="0" w:color="000000"/>
              <w:left w:val="single" w:sz="4" w:space="0" w:color="000000"/>
              <w:bottom w:val="single" w:sz="4" w:space="0" w:color="000000"/>
            </w:tcBorders>
            <w:shd w:val="clear" w:color="auto" w:fill="auto"/>
            <w:vAlign w:val="center"/>
          </w:tcPr>
          <w:p w:rsidR="007A217D" w:rsidRPr="00E3221D" w:rsidRDefault="007A217D" w:rsidP="007A217D">
            <w:pPr>
              <w:jc w:val="center"/>
              <w:rPr>
                <w:sz w:val="22"/>
              </w:rPr>
            </w:pPr>
            <w:r w:rsidRPr="00E3221D">
              <w:rPr>
                <w:rFonts w:ascii="Cantarell" w:hAnsi="Cantarell"/>
                <w:sz w:val="22"/>
              </w:rPr>
              <w:t>14</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bCs/>
                <w:color w:val="000000"/>
                <w:sz w:val="22"/>
                <w:u w:color="000000"/>
              </w:rPr>
              <w:t>Zasilacze</w:t>
            </w: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rPr>
                <w:sz w:val="22"/>
              </w:rPr>
            </w:pPr>
            <w:r w:rsidRPr="00E3221D">
              <w:rPr>
                <w:rFonts w:ascii="Cantarell" w:eastAsia="Calibri" w:hAnsi="Cantarell" w:cs="Calibri"/>
                <w:sz w:val="22"/>
                <w:u w:color="000000"/>
              </w:rPr>
              <w:t>Redundantny 80 Plus Platinum (94%), 1600W</w:t>
            </w:r>
          </w:p>
        </w:tc>
      </w:tr>
      <w:tr w:rsidR="007A217D" w:rsidRPr="00DB71C2" w:rsidTr="00E76FEE">
        <w:tc>
          <w:tcPr>
            <w:tcW w:w="503" w:type="dxa"/>
            <w:tcBorders>
              <w:top w:val="single" w:sz="4" w:space="0" w:color="000000"/>
              <w:left w:val="single" w:sz="4" w:space="0" w:color="000000"/>
              <w:bottom w:val="single" w:sz="4" w:space="0" w:color="000000"/>
            </w:tcBorders>
            <w:shd w:val="clear" w:color="auto" w:fill="auto"/>
            <w:vAlign w:val="center"/>
          </w:tcPr>
          <w:p w:rsidR="007A217D" w:rsidRPr="00E3221D" w:rsidRDefault="007A217D" w:rsidP="007A217D">
            <w:pPr>
              <w:jc w:val="center"/>
              <w:rPr>
                <w:sz w:val="22"/>
              </w:rPr>
            </w:pPr>
            <w:r w:rsidRPr="00E3221D">
              <w:rPr>
                <w:rFonts w:ascii="Cantarell" w:hAnsi="Cantarell"/>
                <w:sz w:val="22"/>
              </w:rPr>
              <w:t>15</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bCs/>
                <w:color w:val="000000"/>
                <w:sz w:val="22"/>
                <w:u w:color="000000"/>
              </w:rPr>
              <w:t>Certyfikaty</w:t>
            </w: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rPr>
                <w:sz w:val="22"/>
                <w:lang w:val="en-US"/>
              </w:rPr>
            </w:pPr>
            <w:r w:rsidRPr="00E3221D">
              <w:rPr>
                <w:rFonts w:ascii="Cantarell" w:eastAsia="Calibri" w:hAnsi="Cantarell" w:cs="Calibri"/>
                <w:sz w:val="22"/>
                <w:u w:color="000000"/>
                <w:lang w:val="en-US"/>
              </w:rPr>
              <w:t>FCC, CE, RCM, VCCI, UL and CB</w:t>
            </w:r>
          </w:p>
        </w:tc>
      </w:tr>
      <w:tr w:rsidR="007A217D" w:rsidRPr="00E3221D" w:rsidTr="00E76FEE">
        <w:tc>
          <w:tcPr>
            <w:tcW w:w="503" w:type="dxa"/>
            <w:tcBorders>
              <w:top w:val="single" w:sz="4" w:space="0" w:color="000000"/>
              <w:left w:val="single" w:sz="4" w:space="0" w:color="000000"/>
              <w:bottom w:val="single" w:sz="4" w:space="0" w:color="000000"/>
            </w:tcBorders>
            <w:shd w:val="clear" w:color="auto" w:fill="auto"/>
            <w:vAlign w:val="center"/>
          </w:tcPr>
          <w:p w:rsidR="007A217D" w:rsidRPr="00E3221D" w:rsidRDefault="007A217D" w:rsidP="007A217D">
            <w:pPr>
              <w:jc w:val="center"/>
              <w:rPr>
                <w:sz w:val="22"/>
              </w:rPr>
            </w:pPr>
            <w:r w:rsidRPr="00E3221D">
              <w:rPr>
                <w:rFonts w:ascii="Cantarell" w:hAnsi="Cantarell"/>
                <w:sz w:val="22"/>
              </w:rPr>
              <w:t>16</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bCs/>
                <w:color w:val="000000"/>
                <w:sz w:val="22"/>
                <w:u w:color="000000"/>
              </w:rPr>
              <w:t>Warunki gwarancji</w:t>
            </w: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spacing w:after="0" w:line="240" w:lineRule="auto"/>
              <w:rPr>
                <w:sz w:val="22"/>
              </w:rPr>
            </w:pPr>
            <w:r w:rsidRPr="00E3221D">
              <w:rPr>
                <w:rFonts w:ascii="Cantarell" w:eastAsia="Calibri" w:hAnsi="Cantarell" w:cs="Calibri"/>
                <w:sz w:val="22"/>
                <w:u w:color="000000"/>
              </w:rPr>
              <w:t xml:space="preserve">36 miesięcy </w:t>
            </w:r>
            <w:proofErr w:type="spellStart"/>
            <w:r w:rsidRPr="00E3221D">
              <w:rPr>
                <w:rFonts w:ascii="Cantarell" w:eastAsia="Calibri" w:hAnsi="Cantarell" w:cs="Calibri"/>
                <w:sz w:val="22"/>
                <w:u w:color="000000"/>
              </w:rPr>
              <w:t>door</w:t>
            </w:r>
            <w:proofErr w:type="spellEnd"/>
            <w:r w:rsidRPr="00E3221D">
              <w:rPr>
                <w:rFonts w:ascii="Cantarell" w:eastAsia="Calibri" w:hAnsi="Cantarell" w:cs="Calibri"/>
                <w:sz w:val="22"/>
                <w:u w:color="000000"/>
              </w:rPr>
              <w:t>-to-</w:t>
            </w:r>
            <w:proofErr w:type="spellStart"/>
            <w:r w:rsidRPr="00E3221D">
              <w:rPr>
                <w:rFonts w:ascii="Cantarell" w:eastAsia="Calibri" w:hAnsi="Cantarell" w:cs="Calibri"/>
                <w:sz w:val="22"/>
                <w:u w:color="000000"/>
              </w:rPr>
              <w:t>door</w:t>
            </w:r>
            <w:proofErr w:type="spellEnd"/>
          </w:p>
        </w:tc>
      </w:tr>
      <w:tr w:rsidR="007A217D" w:rsidRPr="00E3221D" w:rsidTr="00E76FEE">
        <w:trPr>
          <w:trHeight w:val="357"/>
        </w:trPr>
        <w:tc>
          <w:tcPr>
            <w:tcW w:w="503" w:type="dxa"/>
            <w:tcBorders>
              <w:top w:val="single" w:sz="4" w:space="0" w:color="000000"/>
              <w:left w:val="single" w:sz="4" w:space="0" w:color="000000"/>
              <w:bottom w:val="single" w:sz="4" w:space="0" w:color="000000"/>
            </w:tcBorders>
            <w:shd w:val="clear" w:color="auto" w:fill="auto"/>
            <w:vAlign w:val="center"/>
          </w:tcPr>
          <w:p w:rsidR="007A217D" w:rsidRPr="00E3221D" w:rsidRDefault="007A217D" w:rsidP="007A217D">
            <w:pPr>
              <w:jc w:val="center"/>
              <w:rPr>
                <w:sz w:val="22"/>
              </w:rPr>
            </w:pPr>
            <w:r w:rsidRPr="00E3221D">
              <w:rPr>
                <w:rFonts w:ascii="Cantarell" w:hAnsi="Cantarell"/>
                <w:sz w:val="22"/>
              </w:rPr>
              <w:t>17</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hAnsi="Cantarell"/>
                <w:sz w:val="22"/>
              </w:rPr>
            </w:pPr>
            <w:r w:rsidRPr="00E3221D">
              <w:rPr>
                <w:rFonts w:ascii="Cantarell" w:hAnsi="Cantarell"/>
                <w:bCs/>
                <w:color w:val="000000"/>
                <w:sz w:val="22"/>
                <w:u w:color="000000"/>
              </w:rPr>
              <w:t>Dokumentacja użytkownika</w:t>
            </w: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rPr>
                <w:sz w:val="22"/>
              </w:rPr>
            </w:pPr>
            <w:r w:rsidRPr="00E3221D">
              <w:rPr>
                <w:rFonts w:ascii="Cantarell" w:eastAsia="Calibri" w:hAnsi="Cantarell" w:cs="Calibri"/>
                <w:sz w:val="22"/>
                <w:u w:color="000000"/>
              </w:rPr>
              <w:t>Zamawiający wymaga dokumentacji w języku polskim lub angi</w:t>
            </w:r>
            <w:r w:rsidRPr="00E3221D">
              <w:rPr>
                <w:rFonts w:ascii="Cantarell" w:eastAsia="Calibri" w:hAnsi="Cantarell" w:cs="Calibri"/>
                <w:i/>
                <w:iCs/>
                <w:sz w:val="22"/>
                <w:u w:color="000000"/>
              </w:rPr>
              <w:t>e</w:t>
            </w:r>
            <w:r w:rsidRPr="00E3221D">
              <w:rPr>
                <w:rFonts w:ascii="Cantarell" w:eastAsia="Calibri" w:hAnsi="Cantarell" w:cs="Calibri"/>
                <w:sz w:val="22"/>
                <w:u w:color="000000"/>
              </w:rPr>
              <w:t>lskim</w:t>
            </w:r>
          </w:p>
        </w:tc>
      </w:tr>
      <w:tr w:rsidR="007A217D" w:rsidRPr="00E3221D" w:rsidTr="00E76FEE">
        <w:trPr>
          <w:trHeight w:val="357"/>
        </w:trPr>
        <w:tc>
          <w:tcPr>
            <w:tcW w:w="503" w:type="dxa"/>
            <w:tcBorders>
              <w:left w:val="single" w:sz="4" w:space="0" w:color="000000"/>
              <w:bottom w:val="single" w:sz="4" w:space="0" w:color="000000"/>
            </w:tcBorders>
            <w:shd w:val="clear" w:color="auto" w:fill="auto"/>
            <w:vAlign w:val="center"/>
          </w:tcPr>
          <w:p w:rsidR="007A217D" w:rsidRPr="00E3221D" w:rsidRDefault="007A217D" w:rsidP="007A217D">
            <w:pPr>
              <w:jc w:val="center"/>
              <w:rPr>
                <w:rFonts w:ascii="Cantarell" w:eastAsia="Calibri" w:hAnsi="Cantarell"/>
                <w:bCs/>
                <w:color w:val="000000"/>
                <w:sz w:val="22"/>
                <w:u w:color="000000"/>
              </w:rPr>
            </w:pPr>
            <w:r w:rsidRPr="00E3221D">
              <w:rPr>
                <w:rFonts w:ascii="Cantarell" w:eastAsia="Calibri" w:hAnsi="Cantarell"/>
                <w:bCs/>
                <w:color w:val="000000"/>
                <w:sz w:val="22"/>
                <w:u w:color="000000"/>
              </w:rPr>
              <w:t>18</w:t>
            </w:r>
          </w:p>
        </w:tc>
        <w:tc>
          <w:tcPr>
            <w:tcW w:w="2037" w:type="dxa"/>
            <w:tcBorders>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eastAsia="Calibri" w:hAnsi="Cantarell"/>
                <w:bCs/>
                <w:color w:val="000000"/>
                <w:sz w:val="22"/>
                <w:u w:color="000000"/>
              </w:rPr>
            </w:pPr>
            <w:r w:rsidRPr="00E3221D">
              <w:rPr>
                <w:rFonts w:ascii="Cantarell" w:eastAsia="Calibri" w:hAnsi="Cantarell"/>
                <w:bCs/>
                <w:color w:val="000000"/>
                <w:sz w:val="22"/>
                <w:u w:color="000000"/>
              </w:rPr>
              <w:t>Przyciski fizyczne i inne</w:t>
            </w:r>
          </w:p>
        </w:tc>
        <w:tc>
          <w:tcPr>
            <w:tcW w:w="6750" w:type="dxa"/>
            <w:tcBorders>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rPr>
                <w:rFonts w:ascii="Cantarell" w:eastAsia="Calibri" w:hAnsi="Cantarell" w:cs="Calibri"/>
                <w:sz w:val="22"/>
                <w:u w:color="000000"/>
              </w:rPr>
            </w:pPr>
            <w:r w:rsidRPr="00E3221D">
              <w:rPr>
                <w:rFonts w:ascii="Cantarell" w:eastAsia="Calibri" w:hAnsi="Cantarell" w:cs="Calibri"/>
                <w:sz w:val="22"/>
                <w:u w:color="000000"/>
              </w:rPr>
              <w:t xml:space="preserve">Przycisk: </w:t>
            </w:r>
          </w:p>
          <w:p w:rsidR="007A217D" w:rsidRPr="00E3221D" w:rsidRDefault="007A217D" w:rsidP="007A217D">
            <w:pPr>
              <w:rPr>
                <w:rFonts w:ascii="Cantarell" w:eastAsia="Calibri" w:hAnsi="Cantarell" w:cs="Calibri"/>
                <w:sz w:val="22"/>
                <w:u w:color="000000"/>
              </w:rPr>
            </w:pPr>
            <w:r w:rsidRPr="00E3221D">
              <w:rPr>
                <w:rFonts w:ascii="Cantarell" w:eastAsia="Calibri" w:hAnsi="Cantarell" w:cs="Calibri"/>
                <w:sz w:val="22"/>
                <w:u w:color="000000"/>
              </w:rPr>
              <w:t>- Zasilania (włącz/wyłącz)</w:t>
            </w:r>
          </w:p>
          <w:p w:rsidR="007A217D" w:rsidRPr="00E3221D" w:rsidRDefault="007A217D" w:rsidP="007A217D">
            <w:pPr>
              <w:rPr>
                <w:rFonts w:ascii="Cantarell" w:eastAsia="Calibri" w:hAnsi="Cantarell" w:cs="Calibri"/>
                <w:sz w:val="22"/>
                <w:u w:color="000000"/>
              </w:rPr>
            </w:pPr>
            <w:r w:rsidRPr="00E3221D">
              <w:rPr>
                <w:rFonts w:ascii="Cantarell" w:eastAsia="Calibri" w:hAnsi="Cantarell" w:cs="Calibri"/>
                <w:sz w:val="22"/>
                <w:u w:color="000000"/>
              </w:rPr>
              <w:t>- Resetowania</w:t>
            </w:r>
          </w:p>
          <w:p w:rsidR="007A217D" w:rsidRPr="00E3221D" w:rsidRDefault="007A217D" w:rsidP="007A217D">
            <w:pPr>
              <w:rPr>
                <w:rFonts w:ascii="Cantarell" w:eastAsia="Calibri" w:hAnsi="Cantarell" w:cs="Calibri"/>
                <w:sz w:val="22"/>
                <w:u w:color="000000"/>
              </w:rPr>
            </w:pPr>
          </w:p>
          <w:p w:rsidR="007A217D" w:rsidRPr="00E3221D" w:rsidRDefault="007A217D" w:rsidP="007A217D">
            <w:pPr>
              <w:rPr>
                <w:rFonts w:ascii="Cantarell" w:eastAsia="Calibri" w:hAnsi="Cantarell" w:cs="Calibri"/>
                <w:sz w:val="22"/>
                <w:u w:color="000000"/>
              </w:rPr>
            </w:pPr>
            <w:r w:rsidRPr="00E3221D">
              <w:rPr>
                <w:rFonts w:ascii="Cantarell" w:eastAsia="Calibri" w:hAnsi="Cantarell" w:cs="Calibri"/>
                <w:sz w:val="22"/>
                <w:u w:color="000000"/>
              </w:rPr>
              <w:t>Diody LED</w:t>
            </w:r>
          </w:p>
          <w:p w:rsidR="007A217D" w:rsidRPr="00E3221D" w:rsidRDefault="007A217D" w:rsidP="007A217D">
            <w:pPr>
              <w:rPr>
                <w:rFonts w:ascii="Cantarell" w:eastAsia="Calibri" w:hAnsi="Cantarell" w:cs="Calibri"/>
                <w:sz w:val="22"/>
                <w:u w:color="000000"/>
              </w:rPr>
            </w:pPr>
            <w:r w:rsidRPr="00E3221D">
              <w:rPr>
                <w:rFonts w:ascii="Cantarell" w:eastAsia="Calibri" w:hAnsi="Cantarell" w:cs="Calibri"/>
                <w:sz w:val="22"/>
                <w:u w:color="000000"/>
              </w:rPr>
              <w:t>- Status zasilania</w:t>
            </w:r>
          </w:p>
          <w:p w:rsidR="007A217D" w:rsidRPr="00E3221D" w:rsidRDefault="007A217D" w:rsidP="007A217D">
            <w:pPr>
              <w:rPr>
                <w:rFonts w:ascii="Cantarell" w:eastAsia="Calibri" w:hAnsi="Cantarell" w:cs="Calibri"/>
                <w:sz w:val="22"/>
                <w:u w:color="000000"/>
              </w:rPr>
            </w:pPr>
            <w:r w:rsidRPr="00E3221D">
              <w:rPr>
                <w:rFonts w:ascii="Cantarell" w:eastAsia="Calibri" w:hAnsi="Cantarell" w:cs="Calibri"/>
                <w:sz w:val="22"/>
                <w:u w:color="000000"/>
              </w:rPr>
              <w:t>- Aktywności dysku</w:t>
            </w:r>
          </w:p>
          <w:p w:rsidR="007A217D" w:rsidRPr="00E3221D" w:rsidRDefault="007A217D" w:rsidP="007A217D">
            <w:pPr>
              <w:rPr>
                <w:rFonts w:ascii="Cantarell" w:eastAsia="Calibri" w:hAnsi="Cantarell" w:cs="Calibri"/>
                <w:sz w:val="22"/>
                <w:u w:color="000000"/>
              </w:rPr>
            </w:pPr>
            <w:r w:rsidRPr="00E3221D">
              <w:rPr>
                <w:rFonts w:ascii="Cantarell" w:eastAsia="Calibri" w:hAnsi="Cantarell" w:cs="Calibri"/>
                <w:sz w:val="22"/>
                <w:u w:color="000000"/>
              </w:rPr>
              <w:t>- Aktywności sieci</w:t>
            </w:r>
          </w:p>
          <w:p w:rsidR="007A217D" w:rsidRPr="00E3221D" w:rsidRDefault="007A217D" w:rsidP="007A217D">
            <w:pPr>
              <w:rPr>
                <w:rFonts w:ascii="Cantarell" w:eastAsia="Calibri" w:hAnsi="Cantarell" w:cs="Calibri"/>
                <w:sz w:val="22"/>
                <w:u w:color="000000"/>
              </w:rPr>
            </w:pPr>
            <w:r w:rsidRPr="00E3221D">
              <w:rPr>
                <w:rFonts w:ascii="Cantarell" w:eastAsia="Calibri" w:hAnsi="Cantarell" w:cs="Calibri"/>
                <w:sz w:val="22"/>
                <w:u w:color="000000"/>
              </w:rPr>
              <w:t>- Problemu z zasilaniem</w:t>
            </w:r>
          </w:p>
        </w:tc>
      </w:tr>
      <w:tr w:rsidR="007A217D" w:rsidRPr="00E3221D" w:rsidTr="00E76FEE">
        <w:trPr>
          <w:trHeight w:val="89"/>
        </w:trPr>
        <w:tc>
          <w:tcPr>
            <w:tcW w:w="503" w:type="dxa"/>
            <w:tcBorders>
              <w:left w:val="single" w:sz="4" w:space="0" w:color="000000"/>
              <w:bottom w:val="single" w:sz="4" w:space="0" w:color="000000"/>
            </w:tcBorders>
            <w:shd w:val="clear" w:color="auto" w:fill="auto"/>
            <w:vAlign w:val="center"/>
          </w:tcPr>
          <w:p w:rsidR="007A217D" w:rsidRPr="00E3221D" w:rsidRDefault="007A217D" w:rsidP="007A217D">
            <w:pPr>
              <w:jc w:val="center"/>
              <w:rPr>
                <w:sz w:val="22"/>
              </w:rPr>
            </w:pPr>
            <w:r w:rsidRPr="00E3221D">
              <w:rPr>
                <w:rFonts w:ascii="Cantarell" w:hAnsi="Cantarell"/>
                <w:bCs/>
                <w:sz w:val="22"/>
                <w:u w:color="00B050"/>
              </w:rPr>
              <w:t>19</w:t>
            </w:r>
          </w:p>
        </w:tc>
        <w:tc>
          <w:tcPr>
            <w:tcW w:w="2037" w:type="dxa"/>
            <w:tcBorders>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jc w:val="center"/>
              <w:rPr>
                <w:rFonts w:ascii="Cantarell" w:hAnsi="Cantarell"/>
                <w:bCs/>
                <w:sz w:val="22"/>
                <w:u w:color="00B050"/>
                <w:lang w:val="de-DE"/>
              </w:rPr>
            </w:pPr>
            <w:r w:rsidRPr="00E3221D">
              <w:rPr>
                <w:rFonts w:ascii="Cantarell" w:hAnsi="Cantarell"/>
                <w:bCs/>
                <w:sz w:val="22"/>
                <w:u w:color="00B050"/>
              </w:rPr>
              <w:t>Liczba sztuk</w:t>
            </w:r>
          </w:p>
        </w:tc>
        <w:tc>
          <w:tcPr>
            <w:tcW w:w="6750" w:type="dxa"/>
            <w:tcBorders>
              <w:left w:val="single" w:sz="4" w:space="0" w:color="000000"/>
              <w:bottom w:val="single" w:sz="4" w:space="0" w:color="000000"/>
              <w:right w:val="single" w:sz="4" w:space="0" w:color="000000"/>
            </w:tcBorders>
            <w:shd w:val="clear" w:color="auto" w:fill="auto"/>
            <w:vAlign w:val="center"/>
          </w:tcPr>
          <w:p w:rsidR="007A217D" w:rsidRPr="00E3221D" w:rsidRDefault="007A217D" w:rsidP="007A217D">
            <w:pPr>
              <w:rPr>
                <w:rFonts w:ascii="Cantarell" w:hAnsi="Cantarell"/>
                <w:bCs/>
                <w:color w:val="C9211E"/>
                <w:sz w:val="22"/>
                <w:u w:color="00B050"/>
                <w:lang w:val="de-DE"/>
              </w:rPr>
            </w:pPr>
            <w:r w:rsidRPr="00E3221D">
              <w:rPr>
                <w:rFonts w:ascii="Cantarell" w:hAnsi="Cantarell"/>
                <w:sz w:val="22"/>
                <w:u w:color="00B050"/>
              </w:rPr>
              <w:t>1</w:t>
            </w:r>
          </w:p>
        </w:tc>
      </w:tr>
    </w:tbl>
    <w:p w:rsidR="007A217D" w:rsidRDefault="007A217D"/>
    <w:sectPr w:rsidR="007A217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184" w:rsidRDefault="00B11184" w:rsidP="00B11184">
      <w:pPr>
        <w:spacing w:after="0" w:line="240" w:lineRule="auto"/>
      </w:pPr>
      <w:r>
        <w:separator/>
      </w:r>
    </w:p>
  </w:endnote>
  <w:endnote w:type="continuationSeparator" w:id="0">
    <w:p w:rsidR="00B11184" w:rsidRDefault="00B11184" w:rsidP="00B1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DejaVu Sans">
    <w:panose1 w:val="020B0603030804020204"/>
    <w:charset w:val="EE"/>
    <w:family w:val="swiss"/>
    <w:pitch w:val="variable"/>
    <w:sig w:usb0="E7002EFF" w:usb1="D200FDFF" w:usb2="0A246029" w:usb3="00000000" w:csb0="000001FF" w:csb1="00000000"/>
  </w:font>
  <w:font w:name="Caladea">
    <w:panose1 w:val="02040503050406030204"/>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ntarell">
    <w:altName w:val="Times New Roman"/>
    <w:charset w:val="01"/>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84" w:rsidRDefault="00B1118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84" w:rsidRDefault="00B1118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84" w:rsidRDefault="00B111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184" w:rsidRDefault="00B11184" w:rsidP="00B11184">
      <w:pPr>
        <w:spacing w:after="0" w:line="240" w:lineRule="auto"/>
      </w:pPr>
      <w:r>
        <w:separator/>
      </w:r>
    </w:p>
  </w:footnote>
  <w:footnote w:type="continuationSeparator" w:id="0">
    <w:p w:rsidR="00B11184" w:rsidRDefault="00B11184" w:rsidP="00B11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84" w:rsidRDefault="00B1118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84" w:rsidRPr="00AE34DE" w:rsidRDefault="00B11184" w:rsidP="00B11184">
    <w:pPr>
      <w:spacing w:after="0" w:line="240" w:lineRule="auto"/>
      <w:jc w:val="right"/>
      <w:rPr>
        <w:color w:val="CE181E"/>
      </w:rPr>
    </w:pPr>
    <w:r w:rsidRPr="00AE34DE">
      <w:t>WMIM-371-05/2019</w:t>
    </w:r>
  </w:p>
  <w:p w:rsidR="00B11184" w:rsidRDefault="00B1118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84" w:rsidRDefault="00B1118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7FF1"/>
    <w:multiLevelType w:val="multilevel"/>
    <w:tmpl w:val="068A203E"/>
    <w:lvl w:ilvl="0">
      <w:start w:val="1"/>
      <w:numFmt w:val="bullet"/>
      <w:lvlText w:val=""/>
      <w:lvlJc w:val="left"/>
      <w:pPr>
        <w:tabs>
          <w:tab w:val="num" w:pos="360"/>
        </w:tabs>
        <w:ind w:left="36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92F7A5C"/>
    <w:multiLevelType w:val="multilevel"/>
    <w:tmpl w:val="E66AEF3C"/>
    <w:lvl w:ilvl="0">
      <w:start w:val="512"/>
      <w:numFmt w:val="bullet"/>
      <w:lvlText w:val="-"/>
      <w:lvlJc w:val="left"/>
      <w:pPr>
        <w:ind w:left="1440" w:hanging="360"/>
      </w:pPr>
      <w:rPr>
        <w:rFonts w:ascii="Tahoma" w:hAnsi="Tahoma" w:cs="Tahoma"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3B3A6185"/>
    <w:multiLevelType w:val="multilevel"/>
    <w:tmpl w:val="0B30B20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84"/>
    <w:rsid w:val="001C4098"/>
    <w:rsid w:val="007A217D"/>
    <w:rsid w:val="00B11184"/>
    <w:rsid w:val="00DB71C2"/>
    <w:rsid w:val="00E3221D"/>
    <w:rsid w:val="00E76FEE"/>
    <w:rsid w:val="00EB51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0D0F7-65E0-448C-AF70-44984641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1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B11184"/>
    <w:rPr>
      <w:color w:val="000080"/>
      <w:u w:val="single"/>
    </w:rPr>
  </w:style>
  <w:style w:type="paragraph" w:styleId="Nagwek">
    <w:name w:val="header"/>
    <w:basedOn w:val="Normalny"/>
    <w:link w:val="NagwekZnak"/>
    <w:uiPriority w:val="99"/>
    <w:unhideWhenUsed/>
    <w:rsid w:val="00B111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184"/>
  </w:style>
  <w:style w:type="paragraph" w:styleId="Stopka">
    <w:name w:val="footer"/>
    <w:basedOn w:val="Normalny"/>
    <w:link w:val="StopkaZnak"/>
    <w:uiPriority w:val="99"/>
    <w:unhideWhenUsed/>
    <w:rsid w:val="00B111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184"/>
  </w:style>
  <w:style w:type="paragraph" w:styleId="Tekstdymka">
    <w:name w:val="Balloon Text"/>
    <w:basedOn w:val="Normalny"/>
    <w:link w:val="TekstdymkaZnak"/>
    <w:uiPriority w:val="99"/>
    <w:semiHidden/>
    <w:unhideWhenUsed/>
    <w:rsid w:val="00E76F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gloadsolutions.com/80pluspowersupplies.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cocertified.com/product-finder/"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04DA0-C23B-49A4-BC9C-CC68D340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2271</Words>
  <Characters>13628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6</cp:revision>
  <cp:lastPrinted>2019-08-27T08:17:00Z</cp:lastPrinted>
  <dcterms:created xsi:type="dcterms:W3CDTF">2019-08-21T11:11:00Z</dcterms:created>
  <dcterms:modified xsi:type="dcterms:W3CDTF">2019-10-16T08:56:00Z</dcterms:modified>
</cp:coreProperties>
</file>